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80" w:rsidRPr="00BB3C80" w:rsidRDefault="00BB3C80" w:rsidP="00FA0F57">
      <w:pPr>
        <w:pStyle w:val="ListParagraph"/>
        <w:ind w:left="0"/>
        <w:jc w:val="both"/>
        <w:rPr>
          <w:rFonts w:ascii="Tahoma" w:hAnsi="Tahoma" w:cs="Tahoma"/>
        </w:rPr>
      </w:pPr>
      <w:proofErr w:type="spellStart"/>
      <w:r w:rsidRPr="00BB3C80">
        <w:rPr>
          <w:rFonts w:ascii="Tahoma" w:hAnsi="Tahoma" w:cs="Tahoma"/>
          <w:bCs/>
        </w:rPr>
        <w:t>În</w:t>
      </w:r>
      <w:proofErr w:type="spellEnd"/>
      <w:r w:rsidRPr="00BB3C80">
        <w:rPr>
          <w:rFonts w:ascii="Tahoma" w:hAnsi="Tahoma" w:cs="Tahoma"/>
          <w:bCs/>
        </w:rPr>
        <w:t xml:space="preserve"> </w:t>
      </w:r>
      <w:proofErr w:type="spellStart"/>
      <w:r w:rsidRPr="00BB3C80">
        <w:rPr>
          <w:rFonts w:ascii="Tahoma" w:hAnsi="Tahoma" w:cs="Tahoma"/>
          <w:bCs/>
        </w:rPr>
        <w:t>conformitate</w:t>
      </w:r>
      <w:proofErr w:type="spellEnd"/>
      <w:r w:rsidRPr="00BB3C80">
        <w:rPr>
          <w:rFonts w:ascii="Tahoma" w:hAnsi="Tahoma" w:cs="Tahoma"/>
          <w:bCs/>
        </w:rPr>
        <w:t xml:space="preserve"> cu </w:t>
      </w:r>
      <w:proofErr w:type="spellStart"/>
      <w:r w:rsidRPr="00BB3C80">
        <w:rPr>
          <w:rFonts w:ascii="Tahoma" w:hAnsi="Tahoma" w:cs="Tahoma"/>
          <w:bCs/>
        </w:rPr>
        <w:t>prevederile</w:t>
      </w:r>
      <w:proofErr w:type="spellEnd"/>
      <w:r w:rsidRPr="00BB3C80">
        <w:rPr>
          <w:rFonts w:ascii="Tahoma" w:hAnsi="Tahoma" w:cs="Tahoma"/>
          <w:bCs/>
        </w:rPr>
        <w:t xml:space="preserve"> art. 252 - 259 din OUG nr. 57/</w:t>
      </w:r>
      <w:proofErr w:type="gramStart"/>
      <w:r w:rsidRPr="00BB3C80">
        <w:rPr>
          <w:rFonts w:ascii="Tahoma" w:hAnsi="Tahoma" w:cs="Tahoma"/>
          <w:bCs/>
        </w:rPr>
        <w:t xml:space="preserve">03.07.2019 </w:t>
      </w:r>
      <w:r w:rsidRPr="00BB3C80">
        <w:rPr>
          <w:rFonts w:ascii="Tahoma" w:hAnsi="Tahoma" w:cs="Tahoma"/>
          <w:bCs/>
          <w:i/>
        </w:rPr>
        <w:t xml:space="preserve"> </w:t>
      </w:r>
      <w:proofErr w:type="spellStart"/>
      <w:r w:rsidRPr="00BB3C80">
        <w:rPr>
          <w:rFonts w:ascii="Tahoma" w:hAnsi="Tahoma" w:cs="Tahoma"/>
          <w:bCs/>
          <w:i/>
        </w:rPr>
        <w:t>privind</w:t>
      </w:r>
      <w:proofErr w:type="spellEnd"/>
      <w:proofErr w:type="gramEnd"/>
      <w:r w:rsidRPr="00BB3C80">
        <w:rPr>
          <w:rFonts w:ascii="Tahoma" w:hAnsi="Tahoma" w:cs="Tahoma"/>
          <w:bCs/>
          <w:i/>
        </w:rPr>
        <w:t xml:space="preserve"> </w:t>
      </w:r>
      <w:proofErr w:type="spellStart"/>
      <w:r w:rsidRPr="00BB3C80">
        <w:rPr>
          <w:rFonts w:ascii="Tahoma" w:hAnsi="Tahoma" w:cs="Tahoma"/>
          <w:bCs/>
          <w:i/>
        </w:rPr>
        <w:t>Codul</w:t>
      </w:r>
      <w:proofErr w:type="spellEnd"/>
      <w:r w:rsidRPr="00BB3C80">
        <w:rPr>
          <w:rFonts w:ascii="Tahoma" w:hAnsi="Tahoma" w:cs="Tahoma"/>
          <w:bCs/>
          <w:i/>
        </w:rPr>
        <w:t xml:space="preserve"> </w:t>
      </w:r>
      <w:proofErr w:type="spellStart"/>
      <w:r w:rsidRPr="00BB3C80">
        <w:rPr>
          <w:rFonts w:ascii="Tahoma" w:hAnsi="Tahoma" w:cs="Tahoma"/>
          <w:bCs/>
          <w:i/>
        </w:rPr>
        <w:t>Administrativ</w:t>
      </w:r>
      <w:proofErr w:type="spellEnd"/>
      <w:r w:rsidRPr="00BB3C80">
        <w:rPr>
          <w:rFonts w:ascii="Tahoma" w:hAnsi="Tahoma" w:cs="Tahoma"/>
          <w:bCs/>
          <w:i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sunt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: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</w:p>
    <w:p w:rsidR="00BB3C80" w:rsidRDefault="00BB3C80" w:rsidP="00BB3C80">
      <w:pPr>
        <w:jc w:val="center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ARTICOLUL 252</w:t>
      </w:r>
      <w:r w:rsidRPr="00BB3C80">
        <w:rPr>
          <w:rFonts w:ascii="Tahoma" w:hAnsi="Tahoma" w:cs="Tahoma"/>
          <w:b/>
          <w:bCs/>
        </w:rPr>
        <w:br/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Categorii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prefectului</w:t>
      </w:r>
      <w:proofErr w:type="spellEnd"/>
      <w:r w:rsidRPr="00BB3C80">
        <w:rPr>
          <w:rFonts w:ascii="Tahoma" w:hAnsi="Tahoma" w:cs="Tahoma"/>
        </w:rPr>
        <w:t> 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</w:rPr>
        <w:t xml:space="preserve"> </w:t>
      </w:r>
      <w:r w:rsidRPr="00BB3C80">
        <w:rPr>
          <w:rFonts w:ascii="Tahoma" w:hAnsi="Tahoma" w:cs="Tahoma"/>
        </w:rPr>
        <w:br/>
      </w:r>
      <w:r w:rsidRPr="00BB3C80">
        <w:rPr>
          <w:rStyle w:val="l5def1"/>
          <w:rFonts w:ascii="Tahoma" w:hAnsi="Tahoma" w:cs="Tahoma"/>
          <w:b/>
          <w:bCs/>
          <w:color w:val="auto"/>
          <w:sz w:val="24"/>
          <w:szCs w:val="24"/>
        </w:rPr>
        <w:t>(1)</w:t>
      </w:r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îndeplineşte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următoarele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categorii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: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a)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privind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asigurarea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implementării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nivel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local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politicilor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guvernamentale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respectării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ordinii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b)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exercitarea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rolului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constituţional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conducere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serviciilor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deconcentrate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ministerelor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celorlalte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organe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centrale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din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unităţile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administrativ-teritoriale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c)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privind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verificarea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legalităţii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actelor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administrative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autorităţilor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locale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atacarea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actelor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administrative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acestor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autorităţi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consideră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ilegale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d)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îndrumare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la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cererea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autorităţilor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locale,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privind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aplicarea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normelor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legale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din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sfera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competenţă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e)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domeniul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situaţiilor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urgenţă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.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(2)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îndeplineşte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alte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prevăzute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la </w:t>
      </w:r>
      <w:hyperlink r:id="rId5" w:history="1">
        <w:r w:rsidRPr="00BB3C80">
          <w:rPr>
            <w:rStyle w:val="Hyperlink"/>
            <w:rFonts w:ascii="Tahoma" w:hAnsi="Tahoma" w:cs="Tahoma"/>
            <w:color w:val="auto"/>
            <w:u w:val="none"/>
          </w:rPr>
          <w:t>art. 258</w:t>
        </w:r>
      </w:hyperlink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din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prezentul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cod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alte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legi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organice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.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</w:p>
    <w:p w:rsidR="00BB3C80" w:rsidRPr="00BB3C80" w:rsidRDefault="00BB3C80" w:rsidP="00BB3C80">
      <w:pPr>
        <w:jc w:val="center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ARTICOLUL 253</w:t>
      </w:r>
      <w:r w:rsidRPr="00BB3C80">
        <w:rPr>
          <w:rFonts w:ascii="Tahoma" w:hAnsi="Tahoma" w:cs="Tahoma"/>
          <w:b/>
          <w:bCs/>
        </w:rPr>
        <w:br/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privind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asigurarea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implementării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nivel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local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politicilor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guvernamentale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respectării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ordinii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Fonts w:ascii="Tahoma" w:hAnsi="Tahoma" w:cs="Tahoma"/>
        </w:rPr>
        <w:t xml:space="preserve">  </w:t>
      </w:r>
      <w:r w:rsidRPr="00BB3C80">
        <w:rPr>
          <w:rFonts w:ascii="Tahoma" w:hAnsi="Tahoma" w:cs="Tahoma"/>
        </w:rPr>
        <w:br/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exercitarea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prevăzute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la art. 252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alin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. (1) </w:t>
      </w:r>
      <w:hyperlink r:id="rId6" w:history="1">
        <w:r w:rsidRPr="00BB3C80">
          <w:rPr>
            <w:rStyle w:val="Hyperlink"/>
            <w:rFonts w:ascii="Tahoma" w:hAnsi="Tahoma" w:cs="Tahoma"/>
            <w:color w:val="auto"/>
            <w:u w:val="none"/>
          </w:rPr>
          <w:t>lit. a)</w:t>
        </w:r>
      </w:hyperlink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: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a)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asigură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monitorizarea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aplicării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unitare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respectării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Constituţiei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legilor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ordonanţelor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hotărârilor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Guvernului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precum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celorlalte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normative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către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autorităţile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locale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serviciile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deconcentrate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la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nivelul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judeţului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respectiv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municipiului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Bucureşti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b)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analizează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modul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îndeplinire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judeţ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respectiv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municipiul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Bucureşti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obiectivelor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cuprinse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Programul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guvernare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informează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Guvernul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intermediul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ministerului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coordonează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instituţia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cu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privire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stadiul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realizării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acestora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conformitate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cu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revin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potrivit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legii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c)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monitorizează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activitatea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implementare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mod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coerent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integrat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judeţ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respectiv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municipiul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Bucureşti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politicilor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promovate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către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ministere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celelalte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autorităţi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centrale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din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subordinea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Guvernului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informează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Guvernul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intermediul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ministerului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coordonează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instituţia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asupra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stadiului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realizare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acestora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d)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acţionează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pentru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menţinerea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climatului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pace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socială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unei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comunicări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permanente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cu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toate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nivelurile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instituţionale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sociale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acordând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o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atenţie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constantă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prevenirii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tensiunilor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sociale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e)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monitorizează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acţiunile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prevenire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infracţiunilor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apărare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drepturilor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siguranţei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cetăţenilor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desfăşurate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către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organele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legal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abilitate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lastRenderedPageBreak/>
        <w:t>f)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verifică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modul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aplicare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normelor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legale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reglementează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folosirea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limbii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minorităţii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naţionale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raporturile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dintre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autorităţile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locale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serviciile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deconcentrate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o parte,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cetăţenii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aparţinând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minorităţilor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naţionale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altă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parte,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unităţile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administrativ-teritoriale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aceştia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au o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pondere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peste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20%, conform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ultimului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recensământ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.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</w:p>
    <w:p w:rsidR="00BB3C80" w:rsidRPr="00BB3C80" w:rsidRDefault="00BB3C80" w:rsidP="00BB3C80">
      <w:pPr>
        <w:jc w:val="center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ARTICOLUL 254</w:t>
      </w:r>
      <w:r w:rsidRPr="00BB3C80">
        <w:rPr>
          <w:rFonts w:ascii="Tahoma" w:hAnsi="Tahoma" w:cs="Tahoma"/>
          <w:b/>
          <w:bCs/>
        </w:rPr>
        <w:br/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exercitarea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rolului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constituţional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conducere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serviciilor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deconcentrate</w:t>
      </w:r>
      <w:proofErr w:type="spellEnd"/>
      <w:r w:rsidRPr="00BB3C80">
        <w:rPr>
          <w:rFonts w:ascii="Tahoma" w:hAnsi="Tahoma" w:cs="Tahoma"/>
        </w:rPr>
        <w:t xml:space="preserve">  </w:t>
      </w:r>
      <w:r w:rsidRPr="00BB3C80">
        <w:rPr>
          <w:rFonts w:ascii="Tahoma" w:hAnsi="Tahoma" w:cs="Tahoma"/>
        </w:rPr>
        <w:br/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exercitarea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prevăzute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la art. 252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alin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. (1) </w:t>
      </w:r>
      <w:hyperlink r:id="rId7" w:history="1">
        <w:r w:rsidRPr="00BB3C80">
          <w:rPr>
            <w:rStyle w:val="Hyperlink"/>
            <w:rFonts w:ascii="Tahoma" w:hAnsi="Tahoma" w:cs="Tahoma"/>
            <w:color w:val="auto"/>
            <w:u w:val="none"/>
          </w:rPr>
          <w:t>lit. b)</w:t>
        </w:r>
      </w:hyperlink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: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a)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verifică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condiţiile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hyperlink r:id="rId8" w:history="1">
        <w:r w:rsidRPr="00BB3C80">
          <w:rPr>
            <w:rStyle w:val="Hyperlink"/>
            <w:rFonts w:ascii="Tahoma" w:hAnsi="Tahoma" w:cs="Tahoma"/>
            <w:color w:val="auto"/>
            <w:u w:val="none"/>
          </w:rPr>
          <w:t>art. 259</w:t>
        </w:r>
      </w:hyperlink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modul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serviciile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deconcentrate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ministerelor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celorlalte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organe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centrale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îndeplinesc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monitorizare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control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domeniul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activează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b)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avizează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proiectele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bugetelor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situaţiile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financiare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privind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execuţia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bugetară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serviciilor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deconcentrate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ministerelor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celorlalte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organe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centrale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din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subordinea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Guvernului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transmite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conducătorului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instituţiei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ierarhic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superioare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serviciului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public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deconcentrat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.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Avizele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au caracter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consultativ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c)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poate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propune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ministrului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respectiv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conducătorului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organului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subordinea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căruia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aceste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servicii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desfăşoară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activitatea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cercetarea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disciplinară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conducătorului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serviciului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public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deconcentrat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cazul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apreciază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acesta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săvârşit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legătură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cu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realizarea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o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faptă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constituie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abatere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disciplinară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sau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după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caz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poate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sesiza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direct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comisia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disciplină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competentă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 </w:t>
      </w:r>
      <w:r w:rsidRPr="00BB3C80">
        <w:rPr>
          <w:rFonts w:ascii="Tahoma" w:hAnsi="Tahoma" w:cs="Tahoma"/>
          <w:b/>
          <w:bCs/>
        </w:rPr>
        <w:t>d)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desemnează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ordin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un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reprezentant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instituţiei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comisia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concurs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pentru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ocuparea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postului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conducător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unui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serviciu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public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deconcentrat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din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judeţ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.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</w:p>
    <w:p w:rsidR="00BB3C80" w:rsidRPr="00BB3C80" w:rsidRDefault="00BB3C80" w:rsidP="00BB3C80">
      <w:pPr>
        <w:jc w:val="center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ARTICOLUL 255</w:t>
      </w:r>
      <w:r w:rsidRPr="00BB3C80">
        <w:rPr>
          <w:rFonts w:ascii="Tahoma" w:hAnsi="Tahoma" w:cs="Tahoma"/>
          <w:b/>
          <w:bCs/>
        </w:rPr>
        <w:br/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privind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verificarea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legalităţii</w:t>
      </w:r>
      <w:proofErr w:type="spellEnd"/>
      <w:r w:rsidRPr="00BB3C80">
        <w:rPr>
          <w:rFonts w:ascii="Tahoma" w:hAnsi="Tahoma" w:cs="Tahoma"/>
        </w:rPr>
        <w:t xml:space="preserve">  </w:t>
      </w:r>
      <w:r w:rsidRPr="00BB3C80">
        <w:rPr>
          <w:rFonts w:ascii="Tahoma" w:hAnsi="Tahoma" w:cs="Tahoma"/>
        </w:rPr>
        <w:br/>
      </w:r>
      <w:r w:rsidRPr="00BB3C80">
        <w:rPr>
          <w:rStyle w:val="l5def1"/>
          <w:rFonts w:ascii="Tahoma" w:hAnsi="Tahoma" w:cs="Tahoma"/>
          <w:b/>
          <w:bCs/>
          <w:color w:val="auto"/>
          <w:sz w:val="24"/>
          <w:szCs w:val="24"/>
        </w:rPr>
        <w:t>(1)</w:t>
      </w:r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verifică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legalitatea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actelor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administrative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consiliului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judeţean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consiliului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local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primarului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.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(2)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poate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ataca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actele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autorităţilor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prevăzute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la </w:t>
      </w:r>
      <w:hyperlink r:id="rId9" w:history="1">
        <w:proofErr w:type="spellStart"/>
        <w:r w:rsidRPr="00BB3C80">
          <w:rPr>
            <w:rStyle w:val="Hyperlink"/>
            <w:rFonts w:ascii="Tahoma" w:hAnsi="Tahoma" w:cs="Tahoma"/>
            <w:color w:val="auto"/>
            <w:u w:val="none"/>
          </w:rPr>
          <w:t>alin</w:t>
        </w:r>
        <w:proofErr w:type="spellEnd"/>
        <w:r w:rsidRPr="00BB3C80">
          <w:rPr>
            <w:rStyle w:val="Hyperlink"/>
            <w:rFonts w:ascii="Tahoma" w:hAnsi="Tahoma" w:cs="Tahoma"/>
            <w:color w:val="auto"/>
            <w:u w:val="none"/>
          </w:rPr>
          <w:t>. (1)</w:t>
        </w:r>
      </w:hyperlink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consideră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ilegale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faţa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instanţei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competente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condiţiile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legii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contenciosului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administrativ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.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</w:p>
    <w:p w:rsidR="00BB3C80" w:rsidRPr="00BB3C80" w:rsidRDefault="00BB3C80" w:rsidP="00BB3C80">
      <w:pPr>
        <w:jc w:val="center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ARTICOLUL 256</w:t>
      </w:r>
      <w:r w:rsidRPr="00BB3C80">
        <w:rPr>
          <w:rFonts w:ascii="Tahoma" w:hAnsi="Tahoma" w:cs="Tahoma"/>
          <w:b/>
          <w:bCs/>
        </w:rPr>
        <w:br/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îndrumare</w:t>
      </w:r>
      <w:proofErr w:type="spellEnd"/>
      <w:r w:rsidRPr="00BB3C80">
        <w:rPr>
          <w:rFonts w:ascii="Tahoma" w:hAnsi="Tahoma" w:cs="Tahoma"/>
        </w:rPr>
        <w:t xml:space="preserve">  </w:t>
      </w:r>
      <w:r w:rsidRPr="00BB3C80">
        <w:rPr>
          <w:rFonts w:ascii="Tahoma" w:hAnsi="Tahoma" w:cs="Tahoma"/>
        </w:rPr>
        <w:br/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exercitarea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prevăzute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la art. 252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alin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. (1) lit. d),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: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a)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primeşte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solicitările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îndrumare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transmise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autorităţile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locale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după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caz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consultă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celelalte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autorităţi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centrale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vederea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emiterii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unui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punct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vedere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 </w:t>
      </w:r>
      <w:r w:rsidRPr="00BB3C80">
        <w:rPr>
          <w:rFonts w:ascii="Tahoma" w:hAnsi="Tahoma" w:cs="Tahoma"/>
          <w:b/>
          <w:bCs/>
        </w:rPr>
        <w:t>b)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emite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puncte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vedere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urmare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solicitărilor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îndrumare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primite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la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autorităţile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locale;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c)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comunică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solicitantului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punctele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vedere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emise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conform lit. b).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</w:p>
    <w:p w:rsidR="00BB3C80" w:rsidRPr="00BB3C80" w:rsidRDefault="00BB3C80" w:rsidP="00BB3C80">
      <w:pPr>
        <w:jc w:val="center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lastRenderedPageBreak/>
        <w:t>ARTICOLUL 257</w:t>
      </w:r>
      <w:r w:rsidRPr="00BB3C80">
        <w:rPr>
          <w:rFonts w:ascii="Tahoma" w:hAnsi="Tahoma" w:cs="Tahoma"/>
          <w:b/>
          <w:bCs/>
        </w:rPr>
        <w:br/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domeniul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situaţiilor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urgenţă</w:t>
      </w:r>
      <w:proofErr w:type="spellEnd"/>
      <w:r w:rsidRPr="00BB3C80">
        <w:rPr>
          <w:rFonts w:ascii="Tahoma" w:hAnsi="Tahoma" w:cs="Tahoma"/>
        </w:rPr>
        <w:t xml:space="preserve">  </w:t>
      </w:r>
      <w:r w:rsidRPr="00BB3C80">
        <w:rPr>
          <w:rFonts w:ascii="Tahoma" w:hAnsi="Tahoma" w:cs="Tahoma"/>
        </w:rPr>
        <w:br/>
      </w:r>
      <w:r w:rsidRPr="00BB3C80">
        <w:rPr>
          <w:rStyle w:val="l5def1"/>
          <w:rFonts w:ascii="Tahoma" w:hAnsi="Tahoma" w:cs="Tahoma"/>
          <w:b/>
          <w:bCs/>
          <w:color w:val="auto"/>
          <w:sz w:val="24"/>
          <w:szCs w:val="24"/>
        </w:rPr>
        <w:t>(1)</w:t>
      </w:r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exercitarea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prevăzute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la art. 252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alin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. (1) </w:t>
      </w:r>
      <w:hyperlink r:id="rId10" w:history="1">
        <w:r w:rsidRPr="00BB3C80">
          <w:rPr>
            <w:rStyle w:val="Hyperlink"/>
            <w:rFonts w:ascii="Tahoma" w:hAnsi="Tahoma" w:cs="Tahoma"/>
            <w:color w:val="auto"/>
            <w:u w:val="none"/>
          </w:rPr>
          <w:t>lit. e)</w:t>
        </w:r>
      </w:hyperlink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: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a)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dispune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calitate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preşedinte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Comitetului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judeţean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pentru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situaţii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urgenţă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măsurile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se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impun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pentru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prevenirea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gestionarea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acestora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b)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utilizează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calitate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şef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protecţiei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civile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fondurile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special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alocate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la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bugetul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stat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baza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logistică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intervenţie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situaţii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criză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scopul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desfăşurării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bune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condiţii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acestei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activităţi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c)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veghează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desfăşurarea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bune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condiţii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intervenţiilor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altor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activităţi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necesare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restabilirii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situaţiei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normale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plan local.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(2)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cazuri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necesită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adoptarea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măsuri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imediate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pentru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gestionarea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situaţiilor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criză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sau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urgenţă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poate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solicita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primarului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sau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preşedintelui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consiliului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judeţean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respectiv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Primarului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General al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Municipiului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Bucureşti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convocarea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după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caz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unei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şedinţe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extraordinare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consiliului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judeţean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Consiliului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General al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Municipiului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Bucureşti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consiliului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local.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(3)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situaţia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declarării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stării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alertă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condiţiile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legii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pentru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rezolvarea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intereselor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locuitorilor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unităţilor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administrativ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-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teritoriale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poate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solicita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convocarea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îndată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consiliului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judeţean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Consiliului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General al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Municipiului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Bucureşti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consiliului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local,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după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caz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.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(4)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situaţii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urgenţă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sau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criză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autorităţile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militare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componentele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din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structura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Ministerului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Afacerilor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Interne au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obligaţia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informeze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sprijine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pentru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rezolvarea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oricărei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probleme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pune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pericol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afectează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siguranţa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populaţiei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bunurilor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valorilor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mediului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înconjurător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.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</w:p>
    <w:p w:rsidR="00BB3C80" w:rsidRPr="00BB3C80" w:rsidRDefault="00BB3C80" w:rsidP="00BB3C80">
      <w:pPr>
        <w:jc w:val="center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ARTICOLUL 258</w:t>
      </w:r>
      <w:r w:rsidRPr="00BB3C80">
        <w:rPr>
          <w:rFonts w:ascii="Tahoma" w:hAnsi="Tahoma" w:cs="Tahoma"/>
          <w:b/>
          <w:bCs/>
        </w:rPr>
        <w:br/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Alte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Fonts w:ascii="Tahoma" w:hAnsi="Tahoma" w:cs="Tahoma"/>
        </w:rPr>
        <w:t xml:space="preserve">  </w:t>
      </w:r>
      <w:r w:rsidRPr="00BB3C80">
        <w:rPr>
          <w:rFonts w:ascii="Tahoma" w:hAnsi="Tahoma" w:cs="Tahoma"/>
        </w:rPr>
        <w:br/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îndeplineşte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următoarele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: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a)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sprijină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la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cerere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limita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competenţei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autorităţile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locale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pentru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evidenţierea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priorităţilor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dezvoltare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economică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teritorială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b)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susţine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la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cerere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acţiunile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desfăşurate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către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serviciile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deconcentrate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respectiv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către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autorităţile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locale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domeniul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afacerilor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europene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c)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hotărăşte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condiţiile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legii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cooperarea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sau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asocierea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cu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instituţii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similare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din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ţară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din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străinătate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vederea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creşterii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gradului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profesionalizare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instituţiei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d)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îndeplineşte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stabilite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legi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speciale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domeniul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organizării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desfăşurării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alegerilor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locale,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parlamentare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prezidenţiale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alegerilor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pentru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membrii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din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România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Parlamentul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European,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precum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referendumurilor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naţionale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locale;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e)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asigură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desfăşurarea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bune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condiţii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activităţii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serviciilor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comunitare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pentru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eliberarea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evidenţa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paşapoartelor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simple,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respectiv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regim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permise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conducere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înmatriculare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vehiculelor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precum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activităţii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eliberare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apostilei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pentru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actele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oficiale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administrative;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f)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alte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prevăzute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lege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precum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însărcinările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stabilite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Guvern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.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</w:p>
    <w:p w:rsidR="00BB3C80" w:rsidRPr="00BB3C80" w:rsidRDefault="00BB3C80" w:rsidP="00BB3C80">
      <w:pPr>
        <w:jc w:val="center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lastRenderedPageBreak/>
        <w:t>ARTICOLUL 259</w:t>
      </w:r>
      <w:r w:rsidRPr="00BB3C80">
        <w:rPr>
          <w:rFonts w:ascii="Tahoma" w:hAnsi="Tahoma" w:cs="Tahoma"/>
          <w:b/>
          <w:bCs/>
        </w:rPr>
        <w:br/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pot fi delegate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prefectului</w:t>
      </w:r>
      <w:proofErr w:type="spellEnd"/>
      <w:r w:rsidRPr="00BB3C80">
        <w:rPr>
          <w:rFonts w:ascii="Tahoma" w:hAnsi="Tahoma" w:cs="Tahoma"/>
        </w:rPr>
        <w:t xml:space="preserve">  </w:t>
      </w:r>
      <w:r w:rsidRPr="00BB3C80">
        <w:rPr>
          <w:rFonts w:ascii="Tahoma" w:hAnsi="Tahoma" w:cs="Tahoma"/>
        </w:rPr>
        <w:br/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Miniştrii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conducătorii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celorlalte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organe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administraţiei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centrale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din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subordinea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Guvernului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pot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delega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unele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conducere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control,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precum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: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a)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verificarea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modului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utilizare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fondurilor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alocate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serviciilor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deconcentrate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b)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verificarea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modului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realizare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obiectivelor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cuprinse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strategiile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sectoriale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8D3B1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c)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analizarea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modului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realizare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acţiunilor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cu caracter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interministerial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au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scop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creşterea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calităţii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serviciilor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d)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reprezentarea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faţa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instanţelor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judecătoreşti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cazul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serviciile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publice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deconcentrate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din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subordine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nu pot fi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mandatate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;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e)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alte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stabilite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ordin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conducătorului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instituţiei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ierarhic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superioare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serviciului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public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deconcentrat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.</w:t>
      </w:r>
      <w:r w:rsidRPr="00BB3C80">
        <w:rPr>
          <w:rFonts w:ascii="Tahoma" w:hAnsi="Tahoma" w:cs="Tahoma"/>
        </w:rPr>
        <w:t xml:space="preserve">  </w:t>
      </w:r>
    </w:p>
    <w:p w:rsidR="00BB3C80" w:rsidRPr="00BB3C80" w:rsidRDefault="00BB3C80" w:rsidP="00BB3C80">
      <w:pPr>
        <w:jc w:val="both"/>
        <w:rPr>
          <w:rFonts w:ascii="Tahoma" w:hAnsi="Tahoma" w:cs="Tahoma"/>
        </w:rPr>
      </w:pPr>
      <w:bookmarkStart w:id="0" w:name="_GoBack"/>
      <w:bookmarkEnd w:id="0"/>
    </w:p>
    <w:p w:rsidR="006A61F0" w:rsidRPr="00BB3C80" w:rsidRDefault="006A61F0">
      <w:pPr>
        <w:rPr>
          <w:rFonts w:ascii="Tahoma" w:hAnsi="Tahoma" w:cs="Tahoma"/>
        </w:rPr>
      </w:pPr>
    </w:p>
    <w:sectPr w:rsidR="006A61F0" w:rsidRPr="00BB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4F9F"/>
    <w:multiLevelType w:val="hybridMultilevel"/>
    <w:tmpl w:val="5A443F58"/>
    <w:lvl w:ilvl="0" w:tplc="7A2E9D8A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80"/>
    <w:rsid w:val="00026139"/>
    <w:rsid w:val="000A0B5E"/>
    <w:rsid w:val="006A61F0"/>
    <w:rsid w:val="006D5B91"/>
    <w:rsid w:val="00893FDE"/>
    <w:rsid w:val="008D3B10"/>
    <w:rsid w:val="00B601E4"/>
    <w:rsid w:val="00BB3C80"/>
    <w:rsid w:val="00F54606"/>
    <w:rsid w:val="00FA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5E7F1-C3F0-4F48-A4DE-B81C20ED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B3C80"/>
    <w:rPr>
      <w:color w:val="0000FF"/>
      <w:u w:val="single"/>
    </w:rPr>
  </w:style>
  <w:style w:type="character" w:customStyle="1" w:styleId="l5def1">
    <w:name w:val="l5def1"/>
    <w:rsid w:val="00BB3C80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BB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387868%20289890433" TargetMode="External"/><Relationship Id="rId3" Type="http://schemas.openxmlformats.org/officeDocument/2006/relationships/settings" Target="settings.xml"/><Relationship Id="rId7" Type="http://schemas.openxmlformats.org/officeDocument/2006/relationships/hyperlink" Target="act:3387868%202898903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ct:3387868%20289890389" TargetMode="External"/><Relationship Id="rId11" Type="http://schemas.openxmlformats.org/officeDocument/2006/relationships/fontTable" Target="fontTable.xml"/><Relationship Id="rId5" Type="http://schemas.openxmlformats.org/officeDocument/2006/relationships/hyperlink" Target="act:3387868%20289890425" TargetMode="External"/><Relationship Id="rId10" Type="http://schemas.openxmlformats.org/officeDocument/2006/relationships/hyperlink" Target="act:3387868%202898903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:3387868%20289890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vasile</dc:creator>
  <cp:keywords/>
  <dc:description/>
  <cp:lastModifiedBy>matei vasile</cp:lastModifiedBy>
  <cp:revision>4</cp:revision>
  <dcterms:created xsi:type="dcterms:W3CDTF">2019-12-18T08:17:00Z</dcterms:created>
  <dcterms:modified xsi:type="dcterms:W3CDTF">2019-12-18T08:39:00Z</dcterms:modified>
</cp:coreProperties>
</file>