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6.xml" ContentType="application/vnd.openxmlformats-officedocument.drawingml.chart+xml"/>
  <Override PartName="/word/theme/themeOverride2.xml" ContentType="application/vnd.openxmlformats-officedocument.themeOverride+xml"/>
  <Override PartName="/word/charts/chart2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8.xml" ContentType="application/vnd.openxmlformats-officedocument.drawingml.chart+xml"/>
  <Override PartName="/word/theme/themeOverride3.xml" ContentType="application/vnd.openxmlformats-officedocument.themeOverride+xml"/>
  <Override PartName="/word/charts/chart2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D27" w:rsidRDefault="00871D27" w:rsidP="00871D27">
      <w:pPr>
        <w:spacing w:line="480" w:lineRule="auto"/>
        <w:rPr>
          <w:rFonts w:ascii="Times New Roman" w:hAnsi="Times New Roman"/>
          <w:b/>
          <w:sz w:val="36"/>
          <w:szCs w:val="36"/>
          <w:lang w:val="it-IT"/>
        </w:rPr>
      </w:pPr>
      <w:bookmarkStart w:id="0" w:name="_Hlk113447573"/>
      <w:bookmarkEnd w:id="0"/>
      <w:r>
        <w:rPr>
          <w:rFonts w:cs="Calibri"/>
          <w:noProof/>
          <w:sz w:val="24"/>
          <w:szCs w:val="24"/>
        </w:rPr>
        <w:drawing>
          <wp:inline distT="0" distB="0" distL="0" distR="0" wp14:anchorId="08692AF1" wp14:editId="45A12010">
            <wp:extent cx="3589020" cy="76962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9020" cy="769620"/>
                    </a:xfrm>
                    <a:prstGeom prst="rect">
                      <a:avLst/>
                    </a:prstGeom>
                    <a:noFill/>
                    <a:ln>
                      <a:noFill/>
                    </a:ln>
                  </pic:spPr>
                </pic:pic>
              </a:graphicData>
            </a:graphic>
          </wp:inline>
        </w:drawing>
      </w:r>
    </w:p>
    <w:p w:rsidR="00871D27" w:rsidRDefault="00871D27" w:rsidP="00871D27">
      <w:pPr>
        <w:spacing w:line="480" w:lineRule="auto"/>
        <w:jc w:val="center"/>
        <w:rPr>
          <w:rFonts w:ascii="Times New Roman" w:hAnsi="Times New Roman"/>
          <w:b/>
          <w:sz w:val="36"/>
          <w:szCs w:val="36"/>
          <w:lang w:val="it-IT"/>
        </w:rPr>
      </w:pPr>
    </w:p>
    <w:p w:rsidR="00871D27" w:rsidRDefault="00871D27" w:rsidP="00871D27">
      <w:pPr>
        <w:spacing w:line="480" w:lineRule="auto"/>
        <w:jc w:val="center"/>
        <w:rPr>
          <w:rFonts w:ascii="Times New Roman" w:hAnsi="Times New Roman"/>
          <w:b/>
          <w:sz w:val="36"/>
          <w:szCs w:val="36"/>
          <w:lang w:val="it-IT"/>
        </w:rPr>
      </w:pPr>
    </w:p>
    <w:p w:rsidR="00871D27" w:rsidRDefault="00871D27" w:rsidP="00871D27">
      <w:pPr>
        <w:spacing w:line="480" w:lineRule="auto"/>
        <w:jc w:val="center"/>
        <w:rPr>
          <w:rFonts w:ascii="Times New Roman" w:hAnsi="Times New Roman"/>
          <w:b/>
          <w:sz w:val="36"/>
          <w:szCs w:val="36"/>
          <w:lang w:val="it-IT"/>
        </w:rPr>
      </w:pPr>
    </w:p>
    <w:p w:rsidR="00871D27" w:rsidRPr="0031379F" w:rsidRDefault="00871D27" w:rsidP="00871D27">
      <w:pPr>
        <w:spacing w:line="480" w:lineRule="auto"/>
        <w:jc w:val="center"/>
        <w:rPr>
          <w:rFonts w:asciiTheme="majorHAnsi" w:hAnsiTheme="majorHAnsi"/>
          <w:b/>
          <w:sz w:val="36"/>
          <w:szCs w:val="36"/>
          <w:lang w:val="it-IT"/>
        </w:rPr>
      </w:pPr>
      <w:r w:rsidRPr="0031379F">
        <w:rPr>
          <w:rFonts w:asciiTheme="majorHAnsi" w:hAnsiTheme="majorHAnsi"/>
          <w:b/>
          <w:sz w:val="36"/>
          <w:szCs w:val="36"/>
          <w:lang w:val="it-IT"/>
        </w:rPr>
        <w:t xml:space="preserve">ANALIZA PRINCIPALILOR INDICATORI </w:t>
      </w:r>
    </w:p>
    <w:p w:rsidR="00871D27" w:rsidRPr="0031379F" w:rsidRDefault="00871D27" w:rsidP="00871D27">
      <w:pPr>
        <w:spacing w:line="480" w:lineRule="auto"/>
        <w:jc w:val="center"/>
        <w:rPr>
          <w:rFonts w:asciiTheme="majorHAnsi" w:hAnsiTheme="majorHAnsi"/>
          <w:b/>
          <w:sz w:val="36"/>
          <w:szCs w:val="36"/>
          <w:lang w:val="it-IT"/>
        </w:rPr>
      </w:pPr>
      <w:r w:rsidRPr="0031379F">
        <w:rPr>
          <w:rFonts w:asciiTheme="majorHAnsi" w:hAnsiTheme="majorHAnsi"/>
          <w:b/>
          <w:sz w:val="36"/>
          <w:szCs w:val="36"/>
          <w:lang w:val="it-IT"/>
        </w:rPr>
        <w:t>ECONOMICO-SOCIALI ÎNREGISTRAŢI ÎN JUDE</w:t>
      </w:r>
      <w:r w:rsidRPr="0031379F">
        <w:rPr>
          <w:rFonts w:asciiTheme="majorHAnsi" w:hAnsiTheme="majorHAnsi"/>
          <w:b/>
          <w:sz w:val="36"/>
          <w:szCs w:val="36"/>
          <w:lang w:val="ro-RO"/>
        </w:rPr>
        <w:t>ŢUL PRAHOVA ÎN SEMESTRUL I 202</w:t>
      </w:r>
      <w:r>
        <w:rPr>
          <w:rFonts w:asciiTheme="majorHAnsi" w:hAnsiTheme="majorHAnsi"/>
          <w:b/>
          <w:sz w:val="36"/>
          <w:szCs w:val="36"/>
          <w:lang w:val="ro-RO"/>
        </w:rPr>
        <w:t>3</w:t>
      </w: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793447" w:rsidRDefault="00793447" w:rsidP="00871D27">
      <w:pPr>
        <w:spacing w:after="0"/>
        <w:jc w:val="center"/>
        <w:outlineLvl w:val="0"/>
        <w:rPr>
          <w:rFonts w:cs="Calibri"/>
          <w:b/>
          <w:sz w:val="24"/>
          <w:szCs w:val="24"/>
          <w:lang w:val="it-IT"/>
        </w:rPr>
      </w:pPr>
    </w:p>
    <w:p w:rsidR="00793447" w:rsidRDefault="00793447" w:rsidP="00871D27">
      <w:pPr>
        <w:spacing w:after="0"/>
        <w:jc w:val="center"/>
        <w:outlineLvl w:val="0"/>
        <w:rPr>
          <w:rFonts w:cs="Calibri"/>
          <w:b/>
          <w:sz w:val="24"/>
          <w:szCs w:val="24"/>
          <w:lang w:val="it-IT"/>
        </w:rPr>
      </w:pPr>
    </w:p>
    <w:p w:rsidR="00793447" w:rsidRDefault="00793447" w:rsidP="00871D27">
      <w:pPr>
        <w:spacing w:after="0"/>
        <w:jc w:val="center"/>
        <w:outlineLvl w:val="0"/>
        <w:rPr>
          <w:rFonts w:cs="Calibri"/>
          <w:b/>
          <w:sz w:val="24"/>
          <w:szCs w:val="24"/>
          <w:lang w:val="it-IT"/>
        </w:rPr>
      </w:pPr>
    </w:p>
    <w:p w:rsidR="00871D27" w:rsidRDefault="00871D27" w:rsidP="00871D27">
      <w:pPr>
        <w:spacing w:after="0"/>
        <w:jc w:val="center"/>
        <w:outlineLvl w:val="0"/>
        <w:rPr>
          <w:rFonts w:cs="Calibri"/>
          <w:b/>
          <w:sz w:val="24"/>
          <w:szCs w:val="24"/>
          <w:lang w:val="it-IT"/>
        </w:rPr>
      </w:pPr>
    </w:p>
    <w:p w:rsidR="00871D27" w:rsidRDefault="00871D27" w:rsidP="00871D27">
      <w:pPr>
        <w:spacing w:after="0"/>
        <w:outlineLvl w:val="0"/>
        <w:rPr>
          <w:rFonts w:cs="Calibri"/>
          <w:b/>
          <w:sz w:val="24"/>
          <w:szCs w:val="24"/>
          <w:lang w:val="it-IT"/>
        </w:rPr>
      </w:pPr>
    </w:p>
    <w:p w:rsidR="00871D27" w:rsidRPr="00793447" w:rsidRDefault="00871D27" w:rsidP="00871D27">
      <w:pPr>
        <w:spacing w:after="0"/>
        <w:outlineLvl w:val="0"/>
        <w:rPr>
          <w:rFonts w:asciiTheme="majorHAnsi" w:hAnsiTheme="majorHAnsi" w:cs="Calibri"/>
          <w:b/>
          <w:sz w:val="24"/>
          <w:szCs w:val="24"/>
          <w:lang w:val="it-IT"/>
        </w:rPr>
      </w:pPr>
    </w:p>
    <w:p w:rsidR="00871D27" w:rsidRPr="00793447" w:rsidRDefault="00871D27" w:rsidP="00871D27">
      <w:pPr>
        <w:spacing w:line="240" w:lineRule="auto"/>
        <w:ind w:firstLine="567"/>
        <w:outlineLvl w:val="0"/>
        <w:rPr>
          <w:rFonts w:asciiTheme="majorHAnsi" w:hAnsiTheme="majorHAnsi"/>
          <w:b/>
          <w:sz w:val="24"/>
          <w:szCs w:val="24"/>
          <w:lang w:val="ro-RO"/>
        </w:rPr>
      </w:pPr>
      <w:r w:rsidRPr="00793447">
        <w:rPr>
          <w:rFonts w:asciiTheme="majorHAnsi" w:hAnsiTheme="majorHAnsi"/>
          <w:b/>
          <w:sz w:val="24"/>
          <w:szCs w:val="24"/>
          <w:lang w:val="ro-RO"/>
        </w:rPr>
        <w:t>I. STATISTICĂ SOCIALĂ</w:t>
      </w:r>
    </w:p>
    <w:p w:rsidR="00871D27" w:rsidRPr="00793447" w:rsidRDefault="00871D27" w:rsidP="00871D27">
      <w:pPr>
        <w:autoSpaceDE w:val="0"/>
        <w:autoSpaceDN w:val="0"/>
        <w:adjustRightInd w:val="0"/>
        <w:spacing w:after="0" w:line="240" w:lineRule="auto"/>
        <w:ind w:left="360"/>
        <w:rPr>
          <w:rFonts w:asciiTheme="majorHAnsi" w:hAnsiTheme="majorHAnsi" w:cs="Cambria-BoldItalic CE"/>
          <w:b/>
          <w:bCs/>
          <w:i/>
          <w:iCs/>
          <w:sz w:val="24"/>
          <w:szCs w:val="24"/>
          <w:lang w:val="pt-BR"/>
        </w:rPr>
      </w:pPr>
    </w:p>
    <w:p w:rsidR="00871D27" w:rsidRPr="00793447" w:rsidRDefault="00871D27" w:rsidP="00871D27">
      <w:pPr>
        <w:autoSpaceDE w:val="0"/>
        <w:autoSpaceDN w:val="0"/>
        <w:adjustRightInd w:val="0"/>
        <w:spacing w:after="0" w:line="240" w:lineRule="auto"/>
        <w:ind w:left="360"/>
        <w:rPr>
          <w:rFonts w:asciiTheme="majorHAnsi" w:hAnsiTheme="majorHAnsi" w:cs="Cambria-BoldItalic CE"/>
          <w:b/>
          <w:bCs/>
          <w:i/>
          <w:iCs/>
          <w:sz w:val="24"/>
          <w:szCs w:val="24"/>
          <w:lang w:val="pt-BR"/>
        </w:rPr>
      </w:pPr>
      <w:r w:rsidRPr="00793447">
        <w:rPr>
          <w:rFonts w:asciiTheme="majorHAnsi" w:hAnsiTheme="majorHAnsi" w:cs="Cambria-BoldItalic CE"/>
          <w:b/>
          <w:bCs/>
          <w:i/>
          <w:iCs/>
          <w:sz w:val="24"/>
          <w:szCs w:val="24"/>
          <w:lang w:val="pt-BR"/>
        </w:rPr>
        <w:t>1.1. POPULAŢIA</w:t>
      </w:r>
    </w:p>
    <w:p w:rsidR="00871D27" w:rsidRPr="00793447" w:rsidRDefault="00871D27" w:rsidP="00871D27">
      <w:pPr>
        <w:autoSpaceDE w:val="0"/>
        <w:autoSpaceDN w:val="0"/>
        <w:adjustRightInd w:val="0"/>
        <w:spacing w:after="0" w:line="240" w:lineRule="auto"/>
        <w:ind w:left="360"/>
        <w:rPr>
          <w:rFonts w:asciiTheme="majorHAnsi" w:hAnsiTheme="majorHAnsi" w:cs="Cambria-BoldItalic"/>
          <w:b/>
          <w:bCs/>
          <w:i/>
          <w:iCs/>
          <w:sz w:val="24"/>
          <w:szCs w:val="24"/>
          <w:lang w:val="pt-BR"/>
        </w:rPr>
      </w:pPr>
    </w:p>
    <w:p w:rsidR="00871D27" w:rsidRPr="00793447" w:rsidRDefault="00871D27" w:rsidP="00871D27">
      <w:pPr>
        <w:autoSpaceDE w:val="0"/>
        <w:autoSpaceDN w:val="0"/>
        <w:adjustRightInd w:val="0"/>
        <w:spacing w:after="0" w:line="240" w:lineRule="auto"/>
        <w:ind w:firstLine="360"/>
        <w:jc w:val="both"/>
        <w:rPr>
          <w:rFonts w:asciiTheme="majorHAnsi" w:hAnsiTheme="majorHAnsi" w:cs="Arial"/>
          <w:sz w:val="24"/>
          <w:szCs w:val="24"/>
          <w:lang w:val="pt-BR"/>
        </w:rPr>
      </w:pPr>
      <w:r w:rsidRPr="00793447">
        <w:rPr>
          <w:rFonts w:asciiTheme="majorHAnsi" w:hAnsiTheme="majorHAnsi" w:cs="Arial"/>
          <w:sz w:val="24"/>
          <w:szCs w:val="24"/>
          <w:lang w:val="pt-BR"/>
        </w:rPr>
        <w:t>Cunoa</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 xml:space="preserve">terea datelor privind nivelul </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dinamica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iei, fie c</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este vorba de persoanele care locuiesc între grani</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 xml:space="preserve">ele </w:t>
      </w:r>
      <w:r w:rsidRPr="00793447">
        <w:rPr>
          <w:rFonts w:asciiTheme="majorHAnsi" w:hAnsiTheme="majorHAnsi" w:cs="ArialMT CE"/>
          <w:sz w:val="24"/>
          <w:szCs w:val="24"/>
          <w:lang w:val="pt-BR"/>
        </w:rPr>
        <w:t>ţă</w:t>
      </w:r>
      <w:r w:rsidRPr="00793447">
        <w:rPr>
          <w:rFonts w:asciiTheme="majorHAnsi" w:hAnsiTheme="majorHAnsi" w:cs="Arial"/>
          <w:sz w:val="24"/>
          <w:szCs w:val="24"/>
          <w:lang w:val="pt-BR"/>
        </w:rPr>
        <w:t xml:space="preserve">rii, sau de cele care locuiesc în alte </w:t>
      </w:r>
      <w:r w:rsidRPr="00793447">
        <w:rPr>
          <w:rFonts w:asciiTheme="majorHAnsi" w:hAnsiTheme="majorHAnsi" w:cs="ArialMT CE"/>
          <w:sz w:val="24"/>
          <w:szCs w:val="24"/>
          <w:lang w:val="pt-BR"/>
        </w:rPr>
        <w:t>ţă</w:t>
      </w:r>
      <w:r w:rsidRPr="00793447">
        <w:rPr>
          <w:rFonts w:asciiTheme="majorHAnsi" w:hAnsiTheme="majorHAnsi" w:cs="Arial"/>
          <w:sz w:val="24"/>
          <w:szCs w:val="24"/>
          <w:lang w:val="pt-BR"/>
        </w:rPr>
        <w:t>ri, dar au domiciliul în România, prezint</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o importan</w:t>
      </w:r>
      <w:r w:rsidRPr="00793447">
        <w:rPr>
          <w:rFonts w:asciiTheme="majorHAnsi" w:hAnsiTheme="majorHAnsi" w:cs="ArialMT CE"/>
          <w:sz w:val="24"/>
          <w:szCs w:val="24"/>
          <w:lang w:val="pt-BR"/>
        </w:rPr>
        <w:t xml:space="preserve">ţă </w:t>
      </w:r>
      <w:r w:rsidRPr="00793447">
        <w:rPr>
          <w:rFonts w:asciiTheme="majorHAnsi" w:hAnsiTheme="majorHAnsi" w:cs="Arial"/>
          <w:sz w:val="24"/>
          <w:szCs w:val="24"/>
          <w:lang w:val="pt-BR"/>
        </w:rPr>
        <w:t>deosebit</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sub diverse aspecte.</w:t>
      </w:r>
    </w:p>
    <w:p w:rsidR="00871D27" w:rsidRPr="00793447" w:rsidRDefault="00871D27" w:rsidP="00871D27">
      <w:pPr>
        <w:autoSpaceDE w:val="0"/>
        <w:autoSpaceDN w:val="0"/>
        <w:adjustRightInd w:val="0"/>
        <w:spacing w:after="0" w:line="240" w:lineRule="auto"/>
        <w:ind w:firstLine="360"/>
        <w:jc w:val="both"/>
        <w:rPr>
          <w:rFonts w:asciiTheme="majorHAnsi" w:hAnsiTheme="majorHAnsi" w:cs="Arial"/>
          <w:sz w:val="24"/>
          <w:szCs w:val="24"/>
          <w:lang w:val="pt-BR"/>
        </w:rPr>
      </w:pPr>
      <w:r w:rsidRPr="00793447">
        <w:rPr>
          <w:rFonts w:asciiTheme="majorHAnsi" w:hAnsiTheme="majorHAnsi" w:cs="Arial"/>
          <w:sz w:val="24"/>
          <w:szCs w:val="24"/>
          <w:lang w:val="pt-BR"/>
        </w:rPr>
        <w:t>De m</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rimea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iei depinde intensitatea proceselor socio-economice, iar dinamica acesteia, ca num</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xml:space="preserve">r de persoane </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ca structur</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define</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 xml:space="preserve">te comportamentul demografic al unei </w:t>
      </w:r>
      <w:r w:rsidRPr="00793447">
        <w:rPr>
          <w:rFonts w:asciiTheme="majorHAnsi" w:hAnsiTheme="majorHAnsi" w:cs="ArialMT CE"/>
          <w:sz w:val="24"/>
          <w:szCs w:val="24"/>
          <w:lang w:val="pt-BR"/>
        </w:rPr>
        <w:t>ţă</w:t>
      </w:r>
      <w:r w:rsidRPr="00793447">
        <w:rPr>
          <w:rFonts w:asciiTheme="majorHAnsi" w:hAnsiTheme="majorHAnsi" w:cs="Arial"/>
          <w:sz w:val="24"/>
          <w:szCs w:val="24"/>
          <w:lang w:val="pt-BR"/>
        </w:rPr>
        <w:t xml:space="preserve">ri, constituind un reper major în context politic, economic, social </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cultural.</w:t>
      </w:r>
    </w:p>
    <w:p w:rsidR="00871D27" w:rsidRPr="00793447" w:rsidRDefault="00871D27" w:rsidP="00871D27">
      <w:pPr>
        <w:autoSpaceDE w:val="0"/>
        <w:autoSpaceDN w:val="0"/>
        <w:adjustRightInd w:val="0"/>
        <w:spacing w:after="0" w:line="240" w:lineRule="auto"/>
        <w:ind w:firstLine="360"/>
        <w:jc w:val="both"/>
        <w:rPr>
          <w:rFonts w:asciiTheme="majorHAnsi" w:hAnsiTheme="majorHAnsi" w:cs="Arial"/>
          <w:sz w:val="24"/>
          <w:szCs w:val="24"/>
          <w:lang w:val="pt-BR"/>
        </w:rPr>
      </w:pPr>
      <w:r w:rsidRPr="00793447">
        <w:rPr>
          <w:rFonts w:asciiTheme="majorHAnsi" w:hAnsiTheme="majorHAnsi" w:cs="Arial"/>
          <w:sz w:val="24"/>
          <w:szCs w:val="24"/>
          <w:lang w:val="pt-BR"/>
        </w:rPr>
        <w:t>Pentru a eviden</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num</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rul locuitorilor care tr</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xml:space="preserve">iesc pe teritoriul </w:t>
      </w:r>
      <w:r w:rsidRPr="00793447">
        <w:rPr>
          <w:rFonts w:asciiTheme="majorHAnsi" w:hAnsiTheme="majorHAnsi" w:cs="ArialMT CE"/>
          <w:sz w:val="24"/>
          <w:szCs w:val="24"/>
          <w:lang w:val="pt-BR"/>
        </w:rPr>
        <w:t>ţă</w:t>
      </w:r>
      <w:r w:rsidRPr="00793447">
        <w:rPr>
          <w:rFonts w:asciiTheme="majorHAnsi" w:hAnsiTheme="majorHAnsi" w:cs="Arial"/>
          <w:sz w:val="24"/>
          <w:szCs w:val="24"/>
          <w:lang w:val="pt-BR"/>
        </w:rPr>
        <w:t xml:space="preserve">rii, dar </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a celor care î</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au doar domiciliul în România, îns</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locuiesc în alte state ale lumii, statisticile oficiale calculeaz</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doi indicatori care m</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soar</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dimensiunea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iei: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rezident</w:t>
      </w:r>
      <w:r w:rsidRPr="00793447">
        <w:rPr>
          <w:rFonts w:asciiTheme="majorHAnsi" w:hAnsiTheme="majorHAnsi" w:cs="ArialMT CE"/>
          <w:sz w:val="24"/>
          <w:szCs w:val="24"/>
          <w:lang w:val="pt-BR"/>
        </w:rPr>
        <w:t>ă ş</w:t>
      </w:r>
      <w:r w:rsidRPr="00793447">
        <w:rPr>
          <w:rFonts w:asciiTheme="majorHAnsi" w:hAnsiTheme="majorHAnsi" w:cs="Arial"/>
          <w:sz w:val="24"/>
          <w:szCs w:val="24"/>
          <w:lang w:val="pt-BR"/>
        </w:rPr>
        <w:t>i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dup</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domiciliu. Cele dou</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tipuri de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ii au sfer</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de cuprindere diferit</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dup</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domiciliu fiind definit</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ca num</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rul persoanelor cu cet</w:t>
      </w:r>
      <w:r w:rsidRPr="00793447">
        <w:rPr>
          <w:rFonts w:asciiTheme="majorHAnsi" w:hAnsiTheme="majorHAnsi" w:cs="ArialMT CE"/>
          <w:sz w:val="24"/>
          <w:szCs w:val="24"/>
          <w:lang w:val="pt-BR"/>
        </w:rPr>
        <w:t>ăţ</w:t>
      </w:r>
      <w:r w:rsidRPr="00793447">
        <w:rPr>
          <w:rFonts w:asciiTheme="majorHAnsi" w:hAnsiTheme="majorHAnsi" w:cs="Arial"/>
          <w:sz w:val="24"/>
          <w:szCs w:val="24"/>
          <w:lang w:val="pt-BR"/>
        </w:rPr>
        <w:t>enie român</w:t>
      </w:r>
      <w:r w:rsidRPr="00793447">
        <w:rPr>
          <w:rFonts w:asciiTheme="majorHAnsi" w:hAnsiTheme="majorHAnsi" w:cs="ArialMT CE"/>
          <w:sz w:val="24"/>
          <w:szCs w:val="24"/>
          <w:lang w:val="pt-BR"/>
        </w:rPr>
        <w:t>ă ş</w:t>
      </w:r>
      <w:r w:rsidRPr="00793447">
        <w:rPr>
          <w:rFonts w:asciiTheme="majorHAnsi" w:hAnsiTheme="majorHAnsi" w:cs="Arial"/>
          <w:sz w:val="24"/>
          <w:szCs w:val="24"/>
          <w:lang w:val="pt-BR"/>
        </w:rPr>
        <w:t>i domiciliu pe teritoriul României, iar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rezident</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ca totalitatea persoanelor cu cet</w:t>
      </w:r>
      <w:r w:rsidRPr="00793447">
        <w:rPr>
          <w:rFonts w:asciiTheme="majorHAnsi" w:hAnsiTheme="majorHAnsi" w:cs="ArialMT CE"/>
          <w:sz w:val="24"/>
          <w:szCs w:val="24"/>
          <w:lang w:val="pt-BR"/>
        </w:rPr>
        <w:t>ăţ</w:t>
      </w:r>
      <w:r w:rsidRPr="00793447">
        <w:rPr>
          <w:rFonts w:asciiTheme="majorHAnsi" w:hAnsiTheme="majorHAnsi" w:cs="Arial"/>
          <w:sz w:val="24"/>
          <w:szCs w:val="24"/>
          <w:lang w:val="pt-BR"/>
        </w:rPr>
        <w:t>enie român</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str</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in</w:t>
      </w:r>
      <w:r w:rsidRPr="00793447">
        <w:rPr>
          <w:rFonts w:asciiTheme="majorHAnsi" w:hAnsiTheme="majorHAnsi" w:cs="ArialMT CE"/>
          <w:sz w:val="24"/>
          <w:szCs w:val="24"/>
          <w:lang w:val="pt-BR"/>
        </w:rPr>
        <w:t>ă ş</w:t>
      </w:r>
      <w:r w:rsidRPr="00793447">
        <w:rPr>
          <w:rFonts w:asciiTheme="majorHAnsi" w:hAnsiTheme="majorHAnsi" w:cs="Arial"/>
          <w:sz w:val="24"/>
          <w:szCs w:val="24"/>
          <w:lang w:val="pt-BR"/>
        </w:rPr>
        <w:t>i f</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r</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cet</w:t>
      </w:r>
      <w:r w:rsidRPr="00793447">
        <w:rPr>
          <w:rFonts w:asciiTheme="majorHAnsi" w:hAnsiTheme="majorHAnsi" w:cs="ArialMT CE"/>
          <w:sz w:val="24"/>
          <w:szCs w:val="24"/>
          <w:lang w:val="pt-BR"/>
        </w:rPr>
        <w:t>ăţ</w:t>
      </w:r>
      <w:r w:rsidRPr="00793447">
        <w:rPr>
          <w:rFonts w:asciiTheme="majorHAnsi" w:hAnsiTheme="majorHAnsi" w:cs="Arial"/>
          <w:sz w:val="24"/>
          <w:szCs w:val="24"/>
          <w:lang w:val="pt-BR"/>
        </w:rPr>
        <w:t>enie care au re</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edin</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a obi</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nuit</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în România, pentru o perioad</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de cel pu</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in 12 luni.</w:t>
      </w:r>
    </w:p>
    <w:p w:rsidR="00871D27" w:rsidRPr="00793447" w:rsidRDefault="00871D27" w:rsidP="00871D27">
      <w:pPr>
        <w:autoSpaceDE w:val="0"/>
        <w:autoSpaceDN w:val="0"/>
        <w:adjustRightInd w:val="0"/>
        <w:spacing w:after="0" w:line="240" w:lineRule="auto"/>
        <w:jc w:val="both"/>
        <w:rPr>
          <w:rFonts w:asciiTheme="majorHAnsi" w:hAnsiTheme="majorHAnsi" w:cs="Arial"/>
          <w:b/>
          <w:bCs/>
          <w:sz w:val="24"/>
          <w:szCs w:val="24"/>
          <w:lang w:val="pt-BR"/>
        </w:rPr>
      </w:pPr>
    </w:p>
    <w:p w:rsidR="00871D27" w:rsidRPr="00793447" w:rsidRDefault="00871D27" w:rsidP="00871D27">
      <w:pPr>
        <w:autoSpaceDE w:val="0"/>
        <w:autoSpaceDN w:val="0"/>
        <w:adjustRightInd w:val="0"/>
        <w:spacing w:after="0" w:line="240" w:lineRule="auto"/>
        <w:ind w:left="360"/>
        <w:rPr>
          <w:rFonts w:asciiTheme="majorHAnsi" w:hAnsiTheme="majorHAnsi" w:cs="Arial"/>
          <w:b/>
          <w:bCs/>
          <w:i/>
          <w:sz w:val="24"/>
          <w:szCs w:val="24"/>
          <w:lang w:val="pt-BR"/>
        </w:rPr>
      </w:pPr>
    </w:p>
    <w:p w:rsidR="00871D27" w:rsidRPr="00793447" w:rsidRDefault="00871D27" w:rsidP="00871D27">
      <w:pPr>
        <w:autoSpaceDE w:val="0"/>
        <w:autoSpaceDN w:val="0"/>
        <w:adjustRightInd w:val="0"/>
        <w:spacing w:after="0" w:line="240" w:lineRule="auto"/>
        <w:ind w:left="360"/>
        <w:rPr>
          <w:rFonts w:asciiTheme="majorHAnsi" w:hAnsiTheme="majorHAnsi" w:cs="Arial"/>
          <w:b/>
          <w:bCs/>
          <w:i/>
          <w:sz w:val="24"/>
          <w:szCs w:val="24"/>
          <w:lang w:val="pt-BR"/>
        </w:rPr>
      </w:pPr>
      <w:r w:rsidRPr="00793447">
        <w:rPr>
          <w:rFonts w:asciiTheme="majorHAnsi" w:hAnsiTheme="majorHAnsi" w:cs="Arial"/>
          <w:b/>
          <w:bCs/>
          <w:i/>
          <w:sz w:val="24"/>
          <w:szCs w:val="24"/>
          <w:lang w:val="pt-BR"/>
        </w:rPr>
        <w:t>Popula</w:t>
      </w:r>
      <w:r w:rsidRPr="00793447">
        <w:rPr>
          <w:rFonts w:asciiTheme="majorHAnsi" w:hAnsiTheme="majorHAnsi" w:cs="Arial-BoldMT"/>
          <w:b/>
          <w:bCs/>
          <w:i/>
          <w:sz w:val="24"/>
          <w:szCs w:val="24"/>
          <w:lang w:val="pt-BR"/>
        </w:rPr>
        <w:t>ţ</w:t>
      </w:r>
      <w:r w:rsidRPr="00793447">
        <w:rPr>
          <w:rFonts w:asciiTheme="majorHAnsi" w:hAnsiTheme="majorHAnsi" w:cs="Arial"/>
          <w:b/>
          <w:bCs/>
          <w:i/>
          <w:sz w:val="24"/>
          <w:szCs w:val="24"/>
          <w:lang w:val="pt-BR"/>
        </w:rPr>
        <w:t>ia dup</w:t>
      </w:r>
      <w:r w:rsidRPr="00793447">
        <w:rPr>
          <w:rFonts w:asciiTheme="majorHAnsi" w:hAnsiTheme="majorHAnsi" w:cs="Arial-BoldMT"/>
          <w:b/>
          <w:bCs/>
          <w:i/>
          <w:sz w:val="24"/>
          <w:szCs w:val="24"/>
          <w:lang w:val="pt-BR"/>
        </w:rPr>
        <w:t xml:space="preserve">ă </w:t>
      </w:r>
      <w:r w:rsidRPr="00793447">
        <w:rPr>
          <w:rFonts w:asciiTheme="majorHAnsi" w:hAnsiTheme="majorHAnsi" w:cs="Arial"/>
          <w:b/>
          <w:bCs/>
          <w:i/>
          <w:sz w:val="24"/>
          <w:szCs w:val="24"/>
          <w:lang w:val="pt-BR"/>
        </w:rPr>
        <w:t>domiciliu</w:t>
      </w:r>
      <w:r w:rsidR="0036590D" w:rsidRPr="00793447">
        <w:rPr>
          <w:rFonts w:asciiTheme="majorHAnsi" w:hAnsiTheme="majorHAnsi" w:cs="Arial"/>
          <w:b/>
          <w:bCs/>
          <w:i/>
          <w:sz w:val="24"/>
          <w:szCs w:val="24"/>
          <w:lang w:val="pt-BR"/>
        </w:rPr>
        <w:t xml:space="preserve"> la 1 ianuarie 2023</w:t>
      </w:r>
      <w:r w:rsidRPr="00793447">
        <w:rPr>
          <w:rFonts w:asciiTheme="majorHAnsi" w:hAnsiTheme="majorHAnsi" w:cs="Arial"/>
          <w:b/>
          <w:bCs/>
          <w:i/>
          <w:sz w:val="24"/>
          <w:szCs w:val="24"/>
          <w:lang w:val="pt-BR"/>
        </w:rPr>
        <w:t xml:space="preserve"> </w:t>
      </w:r>
      <w:r w:rsidRPr="00793447">
        <w:rPr>
          <w:rStyle w:val="FootnoteReference"/>
          <w:rFonts w:asciiTheme="majorHAnsi" w:hAnsiTheme="majorHAnsi" w:cs="Arial"/>
          <w:b/>
          <w:bCs/>
          <w:i/>
          <w:sz w:val="24"/>
          <w:szCs w:val="24"/>
          <w:lang w:val="pt-BR"/>
        </w:rPr>
        <w:footnoteReference w:id="1"/>
      </w:r>
    </w:p>
    <w:p w:rsidR="00871D27" w:rsidRPr="00793447" w:rsidRDefault="00871D27" w:rsidP="00871D27">
      <w:pPr>
        <w:autoSpaceDE w:val="0"/>
        <w:autoSpaceDN w:val="0"/>
        <w:adjustRightInd w:val="0"/>
        <w:spacing w:after="0" w:line="240" w:lineRule="auto"/>
        <w:ind w:firstLine="360"/>
        <w:jc w:val="both"/>
        <w:rPr>
          <w:rFonts w:asciiTheme="majorHAnsi" w:hAnsiTheme="majorHAnsi" w:cs="Arial"/>
          <w:sz w:val="24"/>
          <w:szCs w:val="24"/>
          <w:lang w:val="pt-BR"/>
        </w:rPr>
      </w:pPr>
    </w:p>
    <w:p w:rsidR="00871D27" w:rsidRPr="00793447" w:rsidRDefault="00871D27" w:rsidP="00871D27">
      <w:pPr>
        <w:autoSpaceDE w:val="0"/>
        <w:autoSpaceDN w:val="0"/>
        <w:adjustRightInd w:val="0"/>
        <w:spacing w:after="0" w:line="240" w:lineRule="auto"/>
        <w:ind w:firstLine="360"/>
        <w:jc w:val="both"/>
        <w:rPr>
          <w:rFonts w:asciiTheme="majorHAnsi" w:hAnsiTheme="majorHAnsi" w:cs="Arial"/>
          <w:sz w:val="24"/>
          <w:szCs w:val="24"/>
          <w:lang w:val="pt-BR"/>
        </w:rPr>
      </w:pPr>
      <w:r w:rsidRPr="00793447">
        <w:rPr>
          <w:rFonts w:asciiTheme="majorHAnsi" w:hAnsiTheme="majorHAnsi" w:cs="Arial"/>
          <w:sz w:val="24"/>
          <w:szCs w:val="24"/>
          <w:lang w:val="pt-BR"/>
        </w:rPr>
        <w:t xml:space="preserve">La 1 </w:t>
      </w:r>
      <w:r w:rsidR="00714D13" w:rsidRPr="00793447">
        <w:rPr>
          <w:rFonts w:asciiTheme="majorHAnsi" w:hAnsiTheme="majorHAnsi" w:cs="Arial"/>
          <w:sz w:val="24"/>
          <w:szCs w:val="24"/>
          <w:lang w:val="pt-BR"/>
        </w:rPr>
        <w:t>ianuarie</w:t>
      </w:r>
      <w:r w:rsidRPr="00793447">
        <w:rPr>
          <w:rFonts w:asciiTheme="majorHAnsi" w:hAnsiTheme="majorHAnsi" w:cs="Arial"/>
          <w:sz w:val="24"/>
          <w:szCs w:val="24"/>
          <w:lang w:val="pt-BR"/>
        </w:rPr>
        <w:t xml:space="preserve"> 202</w:t>
      </w:r>
      <w:r w:rsidR="00714D13" w:rsidRPr="00793447">
        <w:rPr>
          <w:rFonts w:asciiTheme="majorHAnsi" w:hAnsiTheme="majorHAnsi" w:cs="Arial"/>
          <w:sz w:val="24"/>
          <w:szCs w:val="24"/>
          <w:lang w:val="pt-BR"/>
        </w:rPr>
        <w:t>3</w:t>
      </w:r>
      <w:r w:rsidRPr="00793447">
        <w:rPr>
          <w:rFonts w:asciiTheme="majorHAnsi" w:hAnsiTheme="majorHAnsi" w:cs="Arial"/>
          <w:sz w:val="24"/>
          <w:szCs w:val="24"/>
          <w:lang w:val="pt-BR"/>
        </w:rPr>
        <w:t>,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dup</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 xml:space="preserve">domiciliu a judetului Prahova a fost de </w:t>
      </w:r>
      <w:r w:rsidR="00714D13" w:rsidRPr="00793447">
        <w:rPr>
          <w:rFonts w:asciiTheme="majorHAnsi" w:hAnsiTheme="majorHAnsi" w:cs="Arial"/>
          <w:sz w:val="24"/>
          <w:szCs w:val="24"/>
          <w:lang w:val="pt-BR"/>
        </w:rPr>
        <w:t>762715</w:t>
      </w:r>
      <w:r w:rsidRPr="00793447">
        <w:rPr>
          <w:rFonts w:asciiTheme="majorHAnsi" w:hAnsiTheme="majorHAnsi" w:cs="Arial"/>
          <w:sz w:val="24"/>
          <w:szCs w:val="24"/>
          <w:lang w:val="pt-BR"/>
        </w:rPr>
        <w:t xml:space="preserve">  persoane în sc</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dere fa</w:t>
      </w:r>
      <w:r w:rsidRPr="00793447">
        <w:rPr>
          <w:rFonts w:asciiTheme="majorHAnsi" w:hAnsiTheme="majorHAnsi" w:cs="ArialMT CE"/>
          <w:sz w:val="24"/>
          <w:szCs w:val="24"/>
          <w:lang w:val="pt-BR"/>
        </w:rPr>
        <w:t xml:space="preserve">ţă </w:t>
      </w:r>
      <w:r w:rsidRPr="00793447">
        <w:rPr>
          <w:rFonts w:asciiTheme="majorHAnsi" w:hAnsiTheme="majorHAnsi" w:cs="Arial"/>
          <w:sz w:val="24"/>
          <w:szCs w:val="24"/>
          <w:lang w:val="pt-BR"/>
        </w:rPr>
        <w:t xml:space="preserve">de anul precedent cu </w:t>
      </w:r>
      <w:r w:rsidR="00714D13" w:rsidRPr="00793447">
        <w:rPr>
          <w:rFonts w:asciiTheme="majorHAnsi" w:hAnsiTheme="majorHAnsi" w:cs="Arial"/>
          <w:sz w:val="24"/>
          <w:szCs w:val="24"/>
          <w:lang w:val="pt-BR"/>
        </w:rPr>
        <w:t>7896</w:t>
      </w:r>
      <w:r w:rsidRPr="00793447">
        <w:rPr>
          <w:rFonts w:asciiTheme="majorHAnsi" w:hAnsiTheme="majorHAnsi" w:cs="Arial"/>
          <w:sz w:val="24"/>
          <w:szCs w:val="24"/>
          <w:lang w:val="pt-BR"/>
        </w:rPr>
        <w:t xml:space="preserve"> persoane. În ceea ce privește structura populației după domiciliu pe sexe,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feminin</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este mai numeroas</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(51,6%) decât cea masculin</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w:t>
      </w:r>
    </w:p>
    <w:p w:rsidR="00793447" w:rsidRPr="00793447" w:rsidRDefault="00793447" w:rsidP="00793447">
      <w:pPr>
        <w:autoSpaceDE w:val="0"/>
        <w:autoSpaceDN w:val="0"/>
        <w:adjustRightInd w:val="0"/>
        <w:spacing w:after="0" w:line="240" w:lineRule="auto"/>
        <w:ind w:firstLine="567"/>
        <w:jc w:val="both"/>
        <w:rPr>
          <w:rFonts w:asciiTheme="majorHAnsi" w:hAnsiTheme="majorHAnsi" w:cs="Arial"/>
          <w:sz w:val="24"/>
          <w:szCs w:val="24"/>
          <w:lang w:val="pt-BR"/>
        </w:rPr>
      </w:pPr>
      <w:r w:rsidRPr="00793447">
        <w:rPr>
          <w:rFonts w:asciiTheme="majorHAnsi" w:hAnsiTheme="majorHAnsi" w:cs="Arial"/>
          <w:sz w:val="24"/>
          <w:szCs w:val="24"/>
          <w:lang w:val="pt-BR"/>
        </w:rPr>
        <w:t>Judeţul Prahova ocupă locul 4 în clasamentul național. Jude</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ele cu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ie numeroas</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sunt Ia</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(4,5%), Suceava (3,5%), Prahova (3,5%) și Timiș  (3,5%). La polul opus, sunt jude</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e în care concentrarea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iei este mai mic</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xml:space="preserve">: Covasna (1,0%), Tulcea (1,0%) </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S</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laj (1,1%).</w:t>
      </w:r>
    </w:p>
    <w:p w:rsidR="00793447" w:rsidRPr="00793447" w:rsidRDefault="00793447" w:rsidP="00871D27">
      <w:pPr>
        <w:autoSpaceDE w:val="0"/>
        <w:autoSpaceDN w:val="0"/>
        <w:adjustRightInd w:val="0"/>
        <w:spacing w:after="0" w:line="240" w:lineRule="auto"/>
        <w:ind w:firstLine="360"/>
        <w:jc w:val="both"/>
        <w:rPr>
          <w:rFonts w:asciiTheme="majorHAnsi" w:hAnsiTheme="majorHAnsi" w:cs="Arial"/>
          <w:sz w:val="24"/>
          <w:szCs w:val="24"/>
          <w:lang w:val="pt-BR"/>
        </w:rPr>
      </w:pPr>
    </w:p>
    <w:p w:rsidR="00871D27" w:rsidRPr="00793447" w:rsidRDefault="00871D27" w:rsidP="00871D27">
      <w:pPr>
        <w:autoSpaceDE w:val="0"/>
        <w:autoSpaceDN w:val="0"/>
        <w:adjustRightInd w:val="0"/>
        <w:spacing w:after="0" w:line="240" w:lineRule="auto"/>
        <w:ind w:firstLine="360"/>
        <w:jc w:val="center"/>
        <w:rPr>
          <w:rFonts w:asciiTheme="majorHAnsi" w:hAnsiTheme="majorHAnsi" w:cs="Arial"/>
          <w:b/>
          <w:sz w:val="24"/>
          <w:szCs w:val="24"/>
          <w:lang w:val="ro-RO"/>
        </w:rPr>
      </w:pPr>
      <w:r w:rsidRPr="00793447">
        <w:rPr>
          <w:rFonts w:asciiTheme="majorHAnsi" w:hAnsiTheme="majorHAnsi" w:cs="Arial"/>
          <w:b/>
          <w:sz w:val="24"/>
          <w:szCs w:val="24"/>
          <w:lang w:val="ro-RO"/>
        </w:rPr>
        <w:t>Populația județului Prahova, după domic</w:t>
      </w:r>
      <w:r w:rsidR="00793447" w:rsidRPr="00793447">
        <w:rPr>
          <w:rFonts w:asciiTheme="majorHAnsi" w:hAnsiTheme="majorHAnsi" w:cs="Arial"/>
          <w:b/>
          <w:sz w:val="24"/>
          <w:szCs w:val="24"/>
          <w:lang w:val="ro-RO"/>
        </w:rPr>
        <w:t>i</w:t>
      </w:r>
      <w:r w:rsidRPr="00793447">
        <w:rPr>
          <w:rFonts w:asciiTheme="majorHAnsi" w:hAnsiTheme="majorHAnsi" w:cs="Arial"/>
          <w:b/>
          <w:sz w:val="24"/>
          <w:szCs w:val="24"/>
          <w:lang w:val="ro-RO"/>
        </w:rPr>
        <w:t>liu, pe sexe și grupe de vârstă</w:t>
      </w:r>
    </w:p>
    <w:p w:rsidR="005E402B" w:rsidRPr="00793447" w:rsidRDefault="00237B46" w:rsidP="005E402B">
      <w:pPr>
        <w:ind w:left="360"/>
        <w:rPr>
          <w:rFonts w:asciiTheme="majorHAnsi" w:eastAsia="Calibri" w:hAnsiTheme="majorHAnsi"/>
          <w:sz w:val="24"/>
          <w:szCs w:val="24"/>
          <w:lang w:val="it-IT"/>
        </w:rPr>
      </w:pPr>
      <w:r w:rsidRPr="00793447">
        <w:rPr>
          <w:rFonts w:asciiTheme="majorHAnsi" w:eastAsia="Calibri" w:hAnsiTheme="majorHAnsi"/>
          <w:noProof/>
          <w:sz w:val="24"/>
          <w:szCs w:val="24"/>
        </w:rPr>
        <w:drawing>
          <wp:anchor distT="0" distB="0" distL="114300" distR="114300" simplePos="0" relativeHeight="251683840" behindDoc="0" locked="0" layoutInCell="1" allowOverlap="1" wp14:anchorId="1B95AA74" wp14:editId="57B8DB70">
            <wp:simplePos x="0" y="0"/>
            <wp:positionH relativeFrom="column">
              <wp:posOffset>445770</wp:posOffset>
            </wp:positionH>
            <wp:positionV relativeFrom="paragraph">
              <wp:posOffset>92710</wp:posOffset>
            </wp:positionV>
            <wp:extent cx="2786380" cy="3646170"/>
            <wp:effectExtent l="0" t="0" r="0" b="0"/>
            <wp:wrapNone/>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793447">
        <w:rPr>
          <w:rFonts w:asciiTheme="majorHAnsi" w:eastAsia="Calibri" w:hAnsiTheme="majorHAnsi"/>
          <w:noProof/>
          <w:sz w:val="24"/>
          <w:szCs w:val="24"/>
        </w:rPr>
        <mc:AlternateContent>
          <mc:Choice Requires="wps">
            <w:drawing>
              <wp:anchor distT="0" distB="0" distL="114300" distR="114300" simplePos="0" relativeHeight="251678720" behindDoc="0" locked="0" layoutInCell="1" allowOverlap="1" wp14:anchorId="1E43926A" wp14:editId="2154B8DD">
                <wp:simplePos x="0" y="0"/>
                <wp:positionH relativeFrom="column">
                  <wp:posOffset>3083560</wp:posOffset>
                </wp:positionH>
                <wp:positionV relativeFrom="paragraph">
                  <wp:posOffset>84455</wp:posOffset>
                </wp:positionV>
                <wp:extent cx="331470" cy="2349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34950"/>
                        </a:xfrm>
                        <a:prstGeom prst="rect">
                          <a:avLst/>
                        </a:prstGeom>
                        <a:solidFill>
                          <a:srgbClr val="FFFFFF"/>
                        </a:solidFill>
                        <a:ln w="9525">
                          <a:solidFill>
                            <a:srgbClr val="FFFFFF"/>
                          </a:solidFill>
                          <a:miter lim="800000"/>
                          <a:headEnd/>
                          <a:tailEnd/>
                        </a:ln>
                      </wps:spPr>
                      <wps:txbx>
                        <w:txbxContent>
                          <w:p w:rsidR="00793447" w:rsidRPr="00AA6158" w:rsidRDefault="00793447" w:rsidP="005E402B">
                            <w:pPr>
                              <w:rPr>
                                <w:sz w:val="12"/>
                                <w:szCs w:val="12"/>
                              </w:rPr>
                            </w:pPr>
                            <w:r>
                              <w:rPr>
                                <w:sz w:val="12"/>
                                <w:szCs w:val="12"/>
                              </w:rPr>
                              <w:t>ani</w:t>
                            </w:r>
                            <w:r>
                              <w:rPr>
                                <w:sz w:val="12"/>
                                <w:szCs w:val="1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3926A" id="_x0000_t202" coordsize="21600,21600" o:spt="202" path="m,l,21600r21600,l21600,xe">
                <v:stroke joinstyle="miter"/>
                <v:path gradientshapeok="t" o:connecttype="rect"/>
              </v:shapetype>
              <v:shape id="Text Box 35" o:spid="_x0000_s1026" type="#_x0000_t202" style="position:absolute;left:0;text-align:left;margin-left:242.8pt;margin-top:6.65pt;width:26.1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" strokecolor="white">
                <v:textbox>
                  <w:txbxContent>
                    <w:p w:rsidR="00793447" w:rsidRPr="00AA6158" w:rsidRDefault="00793447" w:rsidP="005E402B">
                      <w:pPr>
                        <w:rPr>
                          <w:sz w:val="12"/>
                          <w:szCs w:val="12"/>
                        </w:rPr>
                      </w:pPr>
                      <w:r>
                        <w:rPr>
                          <w:sz w:val="12"/>
                          <w:szCs w:val="12"/>
                        </w:rPr>
                        <w:t>ani</w:t>
                      </w:r>
                      <w:r>
                        <w:rPr>
                          <w:sz w:val="12"/>
                          <w:szCs w:val="12"/>
                        </w:rPr>
                        <w:tab/>
                      </w:r>
                    </w:p>
                  </w:txbxContent>
                </v:textbox>
              </v:shape>
            </w:pict>
          </mc:Fallback>
        </mc:AlternateContent>
      </w:r>
      <w:r w:rsidR="005E402B" w:rsidRPr="00793447">
        <w:rPr>
          <w:rFonts w:asciiTheme="majorHAnsi" w:eastAsia="Calibri" w:hAnsiTheme="majorHAnsi"/>
          <w:noProof/>
          <w:sz w:val="24"/>
          <w:szCs w:val="24"/>
        </w:rPr>
        <w:drawing>
          <wp:anchor distT="0" distB="0" distL="114935" distR="114935" simplePos="0" relativeHeight="251677696" behindDoc="0" locked="0" layoutInCell="1" allowOverlap="1" wp14:anchorId="4A44AD48" wp14:editId="47B8896F">
            <wp:simplePos x="0" y="0"/>
            <wp:positionH relativeFrom="page">
              <wp:posOffset>3891843</wp:posOffset>
            </wp:positionH>
            <wp:positionV relativeFrom="paragraph">
              <wp:posOffset>27940</wp:posOffset>
            </wp:positionV>
            <wp:extent cx="3004185" cy="3648710"/>
            <wp:effectExtent l="0" t="0" r="0" b="0"/>
            <wp:wrapNone/>
            <wp:docPr id="37" name="Char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5E402B" w:rsidRPr="00793447" w:rsidRDefault="005E402B" w:rsidP="005E402B">
      <w:pPr>
        <w:ind w:left="360"/>
        <w:rPr>
          <w:rFonts w:asciiTheme="majorHAnsi" w:eastAsia="Calibri" w:hAnsiTheme="majorHAnsi"/>
          <w:sz w:val="24"/>
          <w:szCs w:val="24"/>
          <w:lang w:val="it-IT"/>
        </w:rPr>
      </w:pPr>
      <w:r w:rsidRPr="00793447">
        <w:rPr>
          <w:rFonts w:asciiTheme="majorHAnsi" w:eastAsia="Calibri" w:hAnsiTheme="majorHAnsi"/>
          <w:noProof/>
          <w:sz w:val="24"/>
          <w:szCs w:val="24"/>
        </w:rPr>
        <mc:AlternateContent>
          <mc:Choice Requires="wps">
            <w:drawing>
              <wp:anchor distT="0" distB="0" distL="114300" distR="114300" simplePos="0" relativeHeight="251679744" behindDoc="0" locked="0" layoutInCell="1" allowOverlap="1" wp14:anchorId="0D7D3ED8" wp14:editId="18E09DF1">
                <wp:simplePos x="0" y="0"/>
                <wp:positionH relativeFrom="column">
                  <wp:posOffset>-6350</wp:posOffset>
                </wp:positionH>
                <wp:positionV relativeFrom="paragraph">
                  <wp:posOffset>311150</wp:posOffset>
                </wp:positionV>
                <wp:extent cx="234950" cy="1651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5100"/>
                        </a:xfrm>
                        <a:prstGeom prst="rect">
                          <a:avLst/>
                        </a:prstGeom>
                        <a:solidFill>
                          <a:srgbClr val="FFFFFF"/>
                        </a:solidFill>
                        <a:ln w="38100">
                          <a:solidFill>
                            <a:srgbClr val="002060"/>
                          </a:solidFill>
                          <a:miter lim="800000"/>
                          <a:headEnd/>
                          <a:tailEnd/>
                        </a:ln>
                        <a:effectLst>
                          <a:outerShdw dist="28398" dir="3806097" algn="ctr" rotWithShape="0">
                            <a:srgbClr val="243F60">
                              <a:alpha val="50000"/>
                            </a:srgbClr>
                          </a:outerShdw>
                        </a:effectLst>
                      </wps:spPr>
                      <wps:txbx>
                        <w:txbxContent>
                          <w:p w:rsidR="00793447" w:rsidRDefault="00793447" w:rsidP="005E40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D3ED8" id="Text Box 34" o:spid="_x0000_s1027" type="#_x0000_t202" style="position:absolute;left:0;text-align:left;margin-left:-.5pt;margin-top:24.5pt;width:18.5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" strokecolor="#002060" strokeweight="3pt">
                <v:shadow on="t" color="#243f60" opacity=".5" offset="1pt"/>
                <v:textbox>
                  <w:txbxContent>
                    <w:p w:rsidR="00793447" w:rsidRDefault="00793447" w:rsidP="005E402B"/>
                  </w:txbxContent>
                </v:textbox>
              </v:shape>
            </w:pict>
          </mc:Fallback>
        </mc:AlternateContent>
      </w:r>
    </w:p>
    <w:p w:rsidR="005E402B" w:rsidRPr="00793447" w:rsidRDefault="005E402B" w:rsidP="005E402B">
      <w:pPr>
        <w:ind w:left="360"/>
        <w:rPr>
          <w:rFonts w:asciiTheme="majorHAnsi" w:eastAsia="Calibri" w:hAnsiTheme="majorHAnsi"/>
          <w:sz w:val="24"/>
          <w:szCs w:val="24"/>
        </w:rPr>
      </w:pPr>
      <w:r w:rsidRPr="00793447">
        <w:rPr>
          <w:rFonts w:asciiTheme="majorHAnsi" w:eastAsia="Calibri" w:hAnsiTheme="majorHAnsi"/>
          <w:noProof/>
          <w:sz w:val="24"/>
          <w:szCs w:val="24"/>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189865</wp:posOffset>
                </wp:positionV>
                <wp:extent cx="234950" cy="1651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5100"/>
                        </a:xfrm>
                        <a:prstGeom prst="rect">
                          <a:avLst/>
                        </a:prstGeom>
                        <a:solidFill>
                          <a:srgbClr val="FFFFFF"/>
                        </a:solidFill>
                        <a:ln w="38100">
                          <a:solidFill>
                            <a:srgbClr val="C00000"/>
                          </a:solidFill>
                          <a:miter lim="800000"/>
                          <a:headEnd/>
                          <a:tailEnd/>
                        </a:ln>
                        <a:effectLst>
                          <a:outerShdw dist="28398" dir="3806097" algn="ctr" rotWithShape="0">
                            <a:srgbClr val="243F60">
                              <a:alpha val="50000"/>
                            </a:srgbClr>
                          </a:outerShdw>
                        </a:effectLst>
                      </wps:spPr>
                      <wps:txbx>
                        <w:txbxContent>
                          <w:p w:rsidR="00793447" w:rsidRDefault="00793447" w:rsidP="005E40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0;margin-top:14.95pt;width:18.5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" strokecolor="#c00000" strokeweight="3pt">
                <v:shadow on="t" color="#243f60" opacity=".5" offset="1pt"/>
                <v:textbox>
                  <w:txbxContent>
                    <w:p w:rsidR="00793447" w:rsidRDefault="00793447" w:rsidP="005E402B"/>
                  </w:txbxContent>
                </v:textbox>
              </v:shape>
            </w:pict>
          </mc:Fallback>
        </mc:AlternateContent>
      </w:r>
      <w:r w:rsidRPr="00793447">
        <w:rPr>
          <w:rFonts w:asciiTheme="majorHAnsi" w:eastAsia="Calibri" w:hAnsiTheme="majorHAnsi"/>
          <w:sz w:val="24"/>
          <w:szCs w:val="24"/>
          <w:lang w:val="it-IT"/>
        </w:rPr>
        <w:t xml:space="preserve">  </w:t>
      </w:r>
      <w:r w:rsidRPr="00793447">
        <w:rPr>
          <w:rFonts w:asciiTheme="majorHAnsi" w:eastAsia="Calibri" w:hAnsiTheme="majorHAnsi"/>
          <w:sz w:val="24"/>
          <w:szCs w:val="24"/>
        </w:rPr>
        <w:t>202</w:t>
      </w:r>
      <w:r w:rsidR="00714D13" w:rsidRPr="00793447">
        <w:rPr>
          <w:rFonts w:asciiTheme="majorHAnsi" w:eastAsia="Calibri" w:hAnsiTheme="majorHAnsi"/>
          <w:sz w:val="24"/>
          <w:szCs w:val="24"/>
        </w:rPr>
        <w:t>3</w:t>
      </w:r>
    </w:p>
    <w:p w:rsidR="005E402B" w:rsidRPr="00793447" w:rsidRDefault="005E402B" w:rsidP="005E402B">
      <w:pPr>
        <w:ind w:left="360"/>
        <w:rPr>
          <w:rFonts w:asciiTheme="majorHAnsi" w:eastAsia="Calibri" w:hAnsiTheme="majorHAnsi"/>
          <w:sz w:val="24"/>
          <w:szCs w:val="24"/>
        </w:rPr>
      </w:pPr>
      <w:r w:rsidRPr="00793447">
        <w:rPr>
          <w:rFonts w:asciiTheme="majorHAnsi" w:eastAsia="Calibri" w:hAnsiTheme="majorHAnsi"/>
          <w:noProof/>
          <w:sz w:val="24"/>
          <w:szCs w:val="24"/>
        </w:rPr>
        <mc:AlternateContent>
          <mc:Choice Requires="wps">
            <w:drawing>
              <wp:anchor distT="0" distB="0" distL="114300" distR="114300" simplePos="0" relativeHeight="251680768" behindDoc="0" locked="0" layoutInCell="1" allowOverlap="1">
                <wp:simplePos x="0" y="0"/>
                <wp:positionH relativeFrom="column">
                  <wp:posOffset>-6350</wp:posOffset>
                </wp:positionH>
                <wp:positionV relativeFrom="paragraph">
                  <wp:posOffset>273050</wp:posOffset>
                </wp:positionV>
                <wp:extent cx="234950" cy="1714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71450"/>
                        </a:xfrm>
                        <a:prstGeom prst="rect">
                          <a:avLst/>
                        </a:prstGeom>
                        <a:solidFill>
                          <a:srgbClr val="FF0000"/>
                        </a:solidFill>
                        <a:ln w="38100">
                          <a:solidFill>
                            <a:srgbClr val="F2F2F2"/>
                          </a:solidFill>
                          <a:miter lim="800000"/>
                          <a:headEnd/>
                          <a:tailEnd/>
                        </a:ln>
                        <a:effectLst>
                          <a:outerShdw dist="28398" dir="3806097" algn="ctr" rotWithShape="0">
                            <a:srgbClr val="974706">
                              <a:alpha val="50000"/>
                            </a:srgbClr>
                          </a:outerShdw>
                        </a:effectLst>
                      </wps:spPr>
                      <wps:txbx>
                        <w:txbxContent>
                          <w:p w:rsidR="00793447" w:rsidRDefault="00793447" w:rsidP="005E40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5pt;margin-top:21.5pt;width:18.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" fillcolor="red" strokecolor="#f2f2f2" strokeweight="3pt">
                <v:shadow on="t" color="#974706" opacity=".5" offset="1pt"/>
                <v:textbox>
                  <w:txbxContent>
                    <w:p w:rsidR="00793447" w:rsidRDefault="00793447" w:rsidP="005E402B"/>
                  </w:txbxContent>
                </v:textbox>
              </v:shape>
            </w:pict>
          </mc:Fallback>
        </mc:AlternateContent>
      </w:r>
    </w:p>
    <w:p w:rsidR="005E402B" w:rsidRPr="00793447" w:rsidRDefault="005E402B" w:rsidP="005E402B">
      <w:pPr>
        <w:ind w:left="360"/>
        <w:rPr>
          <w:rFonts w:asciiTheme="majorHAnsi" w:eastAsia="Calibri" w:hAnsiTheme="majorHAnsi"/>
          <w:sz w:val="24"/>
          <w:szCs w:val="24"/>
        </w:rPr>
      </w:pPr>
      <w:r w:rsidRPr="00793447">
        <w:rPr>
          <w:rFonts w:asciiTheme="majorHAnsi" w:eastAsia="Calibri" w:hAnsiTheme="majorHAnsi"/>
          <w:noProof/>
          <w:sz w:val="24"/>
          <w:szCs w:val="24"/>
        </w:rPr>
        <mc:AlternateContent>
          <mc:Choice Requires="wps">
            <w:drawing>
              <wp:anchor distT="0" distB="0" distL="114300" distR="114300" simplePos="0" relativeHeight="251681792" behindDoc="0" locked="0" layoutInCell="1" allowOverlap="1">
                <wp:simplePos x="0" y="0"/>
                <wp:positionH relativeFrom="column">
                  <wp:posOffset>-6350</wp:posOffset>
                </wp:positionH>
                <wp:positionV relativeFrom="paragraph">
                  <wp:posOffset>133985</wp:posOffset>
                </wp:positionV>
                <wp:extent cx="234950" cy="1587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875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793447" w:rsidRDefault="00793447" w:rsidP="005E40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5pt;margin-top:10.55pt;width:18.5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" fillcolor="#4bacc6" strokecolor="#f2f2f2" strokeweight="3pt">
                <v:shadow on="t" color="#205867" opacity=".5" offset="1pt"/>
                <v:textbox>
                  <w:txbxContent>
                    <w:p w:rsidR="00793447" w:rsidRDefault="00793447" w:rsidP="005E402B"/>
                  </w:txbxContent>
                </v:textbox>
              </v:shape>
            </w:pict>
          </mc:Fallback>
        </mc:AlternateContent>
      </w:r>
      <w:r w:rsidRPr="00793447">
        <w:rPr>
          <w:rFonts w:asciiTheme="majorHAnsi" w:eastAsia="Calibri" w:hAnsiTheme="majorHAnsi"/>
          <w:sz w:val="24"/>
          <w:szCs w:val="24"/>
        </w:rPr>
        <w:t xml:space="preserve">   </w:t>
      </w:r>
      <w:r w:rsidR="00911EBF" w:rsidRPr="00793447">
        <w:rPr>
          <w:rFonts w:asciiTheme="majorHAnsi" w:eastAsia="Calibri" w:hAnsiTheme="majorHAnsi"/>
          <w:sz w:val="24"/>
          <w:szCs w:val="24"/>
        </w:rPr>
        <w:t>2000</w:t>
      </w:r>
    </w:p>
    <w:p w:rsidR="00911EBF" w:rsidRPr="00793447" w:rsidRDefault="00911EBF" w:rsidP="005E402B">
      <w:pPr>
        <w:ind w:left="360"/>
        <w:rPr>
          <w:rFonts w:asciiTheme="majorHAnsi" w:eastAsia="Calibri" w:hAnsiTheme="majorHAnsi"/>
          <w:sz w:val="24"/>
          <w:szCs w:val="24"/>
        </w:rPr>
      </w:pPr>
    </w:p>
    <w:p w:rsidR="00793447" w:rsidRPr="00793447" w:rsidRDefault="00793447" w:rsidP="00871D27">
      <w:pPr>
        <w:spacing w:after="0" w:line="240" w:lineRule="auto"/>
        <w:ind w:firstLine="567"/>
        <w:jc w:val="both"/>
        <w:rPr>
          <w:rFonts w:asciiTheme="majorHAnsi" w:hAnsiTheme="majorHAnsi"/>
          <w:sz w:val="24"/>
          <w:szCs w:val="24"/>
          <w:lang w:val="sq-AL"/>
        </w:rPr>
      </w:pPr>
    </w:p>
    <w:p w:rsidR="00793447" w:rsidRPr="00793447" w:rsidRDefault="00793447" w:rsidP="00871D27">
      <w:pPr>
        <w:spacing w:after="0" w:line="240" w:lineRule="auto"/>
        <w:ind w:firstLine="567"/>
        <w:jc w:val="both"/>
        <w:rPr>
          <w:rFonts w:asciiTheme="majorHAnsi" w:hAnsiTheme="majorHAnsi"/>
          <w:sz w:val="24"/>
          <w:szCs w:val="24"/>
          <w:lang w:val="sq-AL"/>
        </w:rPr>
      </w:pPr>
    </w:p>
    <w:p w:rsidR="00793447" w:rsidRPr="00793447" w:rsidRDefault="00793447" w:rsidP="00871D27">
      <w:pPr>
        <w:spacing w:after="0" w:line="240" w:lineRule="auto"/>
        <w:ind w:firstLine="567"/>
        <w:jc w:val="both"/>
        <w:rPr>
          <w:rFonts w:asciiTheme="majorHAnsi" w:hAnsiTheme="majorHAnsi"/>
          <w:sz w:val="24"/>
          <w:szCs w:val="24"/>
          <w:lang w:val="sq-AL"/>
        </w:rPr>
      </w:pPr>
    </w:p>
    <w:p w:rsidR="00793447" w:rsidRPr="00793447" w:rsidRDefault="00793447" w:rsidP="00871D27">
      <w:pPr>
        <w:spacing w:after="0" w:line="240" w:lineRule="auto"/>
        <w:ind w:firstLine="567"/>
        <w:jc w:val="both"/>
        <w:rPr>
          <w:rFonts w:asciiTheme="majorHAnsi" w:hAnsiTheme="majorHAnsi"/>
          <w:sz w:val="24"/>
          <w:szCs w:val="24"/>
          <w:lang w:val="sq-AL"/>
        </w:rPr>
      </w:pPr>
    </w:p>
    <w:p w:rsidR="00793447" w:rsidRPr="00793447" w:rsidRDefault="00793447" w:rsidP="00871D27">
      <w:pPr>
        <w:spacing w:after="0" w:line="240" w:lineRule="auto"/>
        <w:ind w:firstLine="567"/>
        <w:jc w:val="both"/>
        <w:rPr>
          <w:rFonts w:asciiTheme="majorHAnsi" w:hAnsiTheme="majorHAnsi"/>
          <w:sz w:val="24"/>
          <w:szCs w:val="24"/>
          <w:lang w:val="sq-AL"/>
        </w:rPr>
      </w:pPr>
    </w:p>
    <w:p w:rsidR="00793447" w:rsidRPr="00793447" w:rsidRDefault="00793447" w:rsidP="00871D27">
      <w:pPr>
        <w:spacing w:after="0" w:line="240" w:lineRule="auto"/>
        <w:ind w:firstLine="567"/>
        <w:jc w:val="both"/>
        <w:rPr>
          <w:rFonts w:asciiTheme="majorHAnsi" w:hAnsiTheme="majorHAnsi"/>
          <w:sz w:val="24"/>
          <w:szCs w:val="24"/>
          <w:lang w:val="sq-AL"/>
        </w:rPr>
      </w:pPr>
    </w:p>
    <w:p w:rsidR="00793447" w:rsidRDefault="00793447" w:rsidP="00871D27">
      <w:pPr>
        <w:spacing w:after="0" w:line="240" w:lineRule="auto"/>
        <w:ind w:firstLine="567"/>
        <w:jc w:val="both"/>
        <w:rPr>
          <w:rFonts w:asciiTheme="majorHAnsi" w:hAnsiTheme="majorHAnsi"/>
          <w:sz w:val="24"/>
          <w:szCs w:val="24"/>
          <w:lang w:val="sq-AL"/>
        </w:rPr>
      </w:pPr>
    </w:p>
    <w:p w:rsidR="00793447" w:rsidRDefault="00793447" w:rsidP="00871D27">
      <w:pPr>
        <w:spacing w:after="0" w:line="240" w:lineRule="auto"/>
        <w:ind w:firstLine="567"/>
        <w:jc w:val="both"/>
        <w:rPr>
          <w:rFonts w:asciiTheme="majorHAnsi" w:hAnsiTheme="majorHAnsi"/>
          <w:sz w:val="24"/>
          <w:szCs w:val="24"/>
          <w:lang w:val="sq-AL"/>
        </w:rPr>
      </w:pPr>
    </w:p>
    <w:p w:rsidR="00793447" w:rsidRDefault="00793447" w:rsidP="00871D27">
      <w:pPr>
        <w:spacing w:after="0" w:line="240" w:lineRule="auto"/>
        <w:ind w:firstLine="567"/>
        <w:jc w:val="both"/>
        <w:rPr>
          <w:rFonts w:asciiTheme="majorHAnsi" w:hAnsiTheme="majorHAnsi"/>
          <w:sz w:val="24"/>
          <w:szCs w:val="24"/>
          <w:lang w:val="sq-AL"/>
        </w:rPr>
      </w:pPr>
    </w:p>
    <w:p w:rsidR="00871D27" w:rsidRPr="00793447" w:rsidRDefault="00871D27" w:rsidP="00871D27">
      <w:pPr>
        <w:spacing w:after="0" w:line="240" w:lineRule="auto"/>
        <w:ind w:firstLine="567"/>
        <w:jc w:val="both"/>
        <w:rPr>
          <w:rFonts w:asciiTheme="majorHAnsi" w:hAnsiTheme="majorHAnsi"/>
          <w:sz w:val="24"/>
          <w:szCs w:val="24"/>
          <w:lang w:val="sq-AL"/>
        </w:rPr>
      </w:pPr>
      <w:r w:rsidRPr="00793447">
        <w:rPr>
          <w:rFonts w:asciiTheme="majorHAnsi" w:hAnsiTheme="majorHAnsi"/>
          <w:sz w:val="24"/>
          <w:szCs w:val="24"/>
          <w:lang w:val="sq-AL"/>
        </w:rPr>
        <w:t>Piramida vârstelor reflectă cel mai fidel cronica generaţiilor, evidenţiind disproporţiile în structura populaţiei, pe grupe de vârstă şi sexe. Reducerea numărului populaţiei tinere a îngustat şi mai mult baza piramidei vârstelor. Efectele demografice şi economice ale acestei evoluţii se vor resimţi în timp şi vor atrage schimbări la nivelul diferitelor subpopulaţii (populaţia şcolară, populaţia de vârstă fertilă, populaţia în vârstă de muncă).</w:t>
      </w:r>
    </w:p>
    <w:p w:rsidR="00871D27" w:rsidRPr="00793447" w:rsidRDefault="00871D27" w:rsidP="00871D27">
      <w:pPr>
        <w:spacing w:after="0" w:line="240" w:lineRule="auto"/>
        <w:ind w:firstLine="567"/>
        <w:jc w:val="both"/>
        <w:rPr>
          <w:rFonts w:asciiTheme="majorHAnsi" w:hAnsiTheme="majorHAnsi"/>
          <w:sz w:val="24"/>
          <w:szCs w:val="24"/>
          <w:lang w:val="sq-AL"/>
        </w:rPr>
      </w:pPr>
      <w:r w:rsidRPr="00793447">
        <w:rPr>
          <w:rFonts w:asciiTheme="majorHAnsi" w:hAnsiTheme="majorHAnsi"/>
          <w:sz w:val="24"/>
          <w:szCs w:val="24"/>
          <w:lang w:val="sq-AL"/>
        </w:rPr>
        <w:t>Schimbările care au avut loc în dinamica populaţiei sunt rezultatul direct al tendinţelor înregistrate la nivelul fenomenelor demografice: natalitatea, mortalitatea, migraţia internă</w:t>
      </w:r>
      <w:r w:rsidR="00C60C37" w:rsidRPr="00793447">
        <w:rPr>
          <w:rFonts w:asciiTheme="majorHAnsi" w:hAnsiTheme="majorHAnsi"/>
          <w:sz w:val="24"/>
          <w:szCs w:val="24"/>
          <w:lang w:val="sq-AL"/>
        </w:rPr>
        <w:t>,</w:t>
      </w:r>
      <w:r w:rsidRPr="00793447">
        <w:rPr>
          <w:rFonts w:asciiTheme="majorHAnsi" w:hAnsiTheme="majorHAnsi"/>
          <w:sz w:val="24"/>
          <w:szCs w:val="24"/>
          <w:lang w:val="sq-AL"/>
        </w:rPr>
        <w:t xml:space="preserve"> </w:t>
      </w:r>
      <w:r w:rsidR="00C60C37" w:rsidRPr="00793447">
        <w:rPr>
          <w:rFonts w:asciiTheme="majorHAnsi" w:hAnsiTheme="majorHAnsi"/>
          <w:sz w:val="24"/>
          <w:szCs w:val="24"/>
          <w:lang w:val="sq-AL"/>
        </w:rPr>
        <w:t>migra</w:t>
      </w:r>
      <w:r w:rsidR="00C60C37" w:rsidRPr="00793447">
        <w:rPr>
          <w:rFonts w:asciiTheme="majorHAnsi" w:hAnsiTheme="majorHAnsi"/>
          <w:sz w:val="24"/>
          <w:szCs w:val="24"/>
          <w:lang w:val="ro-RO"/>
        </w:rPr>
        <w:t>ția</w:t>
      </w:r>
      <w:r w:rsidRPr="00793447">
        <w:rPr>
          <w:rFonts w:asciiTheme="majorHAnsi" w:hAnsiTheme="majorHAnsi"/>
          <w:sz w:val="24"/>
          <w:szCs w:val="24"/>
          <w:lang w:val="sq-AL"/>
        </w:rPr>
        <w:t xml:space="preserve"> externă.</w:t>
      </w:r>
    </w:p>
    <w:p w:rsidR="00871D27" w:rsidRPr="00793447" w:rsidRDefault="00871D27" w:rsidP="00871D27">
      <w:pPr>
        <w:autoSpaceDE w:val="0"/>
        <w:autoSpaceDN w:val="0"/>
        <w:adjustRightInd w:val="0"/>
        <w:spacing w:after="0" w:line="240" w:lineRule="auto"/>
        <w:ind w:firstLine="567"/>
        <w:jc w:val="both"/>
        <w:rPr>
          <w:rFonts w:asciiTheme="majorHAnsi" w:hAnsiTheme="majorHAnsi" w:cs="Arial"/>
          <w:sz w:val="24"/>
          <w:szCs w:val="24"/>
          <w:lang w:val="pt-BR"/>
        </w:rPr>
      </w:pPr>
      <w:r w:rsidRPr="00793447">
        <w:rPr>
          <w:rFonts w:asciiTheme="majorHAnsi" w:hAnsiTheme="majorHAnsi" w:cs="Arial"/>
          <w:sz w:val="24"/>
          <w:szCs w:val="24"/>
          <w:lang w:val="pt-BR"/>
        </w:rPr>
        <w:t>În profil teritorial,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dup</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domiciliu a României nu este uniform distribuit</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xml:space="preserve">. Factorii geografici, dar </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polarizarea economic</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au condus treptat la o polarizare demografic</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xml:space="preserve"> Astfel, în Municipiul Bucure</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ti este concentrat</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aproape o zecime din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ia cu domiciliul în România (9,</w:t>
      </w:r>
      <w:r w:rsidR="00AC41EA" w:rsidRPr="00793447">
        <w:rPr>
          <w:rFonts w:asciiTheme="majorHAnsi" w:hAnsiTheme="majorHAnsi" w:cs="Arial"/>
          <w:sz w:val="24"/>
          <w:szCs w:val="24"/>
          <w:lang w:val="pt-BR"/>
        </w:rPr>
        <w:t>9</w:t>
      </w:r>
      <w:r w:rsidRPr="00793447">
        <w:rPr>
          <w:rFonts w:asciiTheme="majorHAnsi" w:hAnsiTheme="majorHAnsi" w:cs="Arial"/>
          <w:sz w:val="24"/>
          <w:szCs w:val="24"/>
          <w:lang w:val="pt-BR"/>
        </w:rPr>
        <w:t>%).</w:t>
      </w:r>
    </w:p>
    <w:p w:rsidR="00871D27" w:rsidRPr="00793447" w:rsidRDefault="00871D27" w:rsidP="00871D27">
      <w:pPr>
        <w:autoSpaceDE w:val="0"/>
        <w:autoSpaceDN w:val="0"/>
        <w:adjustRightInd w:val="0"/>
        <w:spacing w:after="0" w:line="240" w:lineRule="auto"/>
        <w:ind w:firstLine="567"/>
        <w:jc w:val="both"/>
        <w:rPr>
          <w:rFonts w:asciiTheme="majorHAnsi" w:hAnsiTheme="majorHAnsi" w:cs="Arial"/>
          <w:sz w:val="24"/>
          <w:szCs w:val="24"/>
          <w:lang w:val="pt-BR"/>
        </w:rPr>
      </w:pPr>
      <w:r w:rsidRPr="00793447">
        <w:rPr>
          <w:rFonts w:asciiTheme="majorHAnsi" w:hAnsiTheme="majorHAnsi" w:cs="Arial"/>
          <w:sz w:val="24"/>
          <w:szCs w:val="24"/>
          <w:lang w:val="pt-BR"/>
        </w:rPr>
        <w:t>Jude</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ele cu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ie numeroas</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sunt Ia</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 xml:space="preserve">i (4,5%), </w:t>
      </w:r>
      <w:r w:rsidR="00AC41EA" w:rsidRPr="00793447">
        <w:rPr>
          <w:rFonts w:asciiTheme="majorHAnsi" w:hAnsiTheme="majorHAnsi" w:cs="Arial"/>
          <w:sz w:val="24"/>
          <w:szCs w:val="24"/>
          <w:lang w:val="pt-BR"/>
        </w:rPr>
        <w:t xml:space="preserve">Suceava (3,5%), </w:t>
      </w:r>
      <w:r w:rsidRPr="00793447">
        <w:rPr>
          <w:rFonts w:asciiTheme="majorHAnsi" w:hAnsiTheme="majorHAnsi" w:cs="Arial"/>
          <w:sz w:val="24"/>
          <w:szCs w:val="24"/>
          <w:lang w:val="pt-BR"/>
        </w:rPr>
        <w:t>Prahova (3,5%)</w:t>
      </w:r>
      <w:r w:rsidR="00AC41EA" w:rsidRPr="00793447">
        <w:rPr>
          <w:rFonts w:asciiTheme="majorHAnsi" w:hAnsiTheme="majorHAnsi" w:cs="Arial"/>
          <w:sz w:val="24"/>
          <w:szCs w:val="24"/>
          <w:lang w:val="pt-BR"/>
        </w:rPr>
        <w:t xml:space="preserve"> </w:t>
      </w:r>
      <w:r w:rsidRPr="00793447">
        <w:rPr>
          <w:rFonts w:asciiTheme="majorHAnsi" w:hAnsiTheme="majorHAnsi" w:cs="Arial"/>
          <w:sz w:val="24"/>
          <w:szCs w:val="24"/>
          <w:lang w:val="pt-BR"/>
        </w:rPr>
        <w:t>și Timiș  (3,5%). La polul opus, sunt jude</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e în care concentrarea popula</w:t>
      </w:r>
      <w:r w:rsidRPr="00793447">
        <w:rPr>
          <w:rFonts w:asciiTheme="majorHAnsi" w:hAnsiTheme="majorHAnsi" w:cs="ArialMT CE"/>
          <w:sz w:val="24"/>
          <w:szCs w:val="24"/>
          <w:lang w:val="pt-BR"/>
        </w:rPr>
        <w:t>ţ</w:t>
      </w:r>
      <w:r w:rsidRPr="00793447">
        <w:rPr>
          <w:rFonts w:asciiTheme="majorHAnsi" w:hAnsiTheme="majorHAnsi" w:cs="Arial"/>
          <w:sz w:val="24"/>
          <w:szCs w:val="24"/>
          <w:lang w:val="pt-BR"/>
        </w:rPr>
        <w:t>iei este mai mic</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 xml:space="preserve">: Covasna (1,0%), Tulcea (1,0%) </w:t>
      </w:r>
      <w:r w:rsidRPr="00793447">
        <w:rPr>
          <w:rFonts w:asciiTheme="majorHAnsi" w:hAnsiTheme="majorHAnsi" w:cs="ArialMT CE"/>
          <w:sz w:val="24"/>
          <w:szCs w:val="24"/>
          <w:lang w:val="pt-BR"/>
        </w:rPr>
        <w:t>ş</w:t>
      </w:r>
      <w:r w:rsidRPr="00793447">
        <w:rPr>
          <w:rFonts w:asciiTheme="majorHAnsi" w:hAnsiTheme="majorHAnsi" w:cs="Arial"/>
          <w:sz w:val="24"/>
          <w:szCs w:val="24"/>
          <w:lang w:val="pt-BR"/>
        </w:rPr>
        <w:t>i S</w:t>
      </w:r>
      <w:r w:rsidRPr="00793447">
        <w:rPr>
          <w:rFonts w:asciiTheme="majorHAnsi" w:hAnsiTheme="majorHAnsi" w:cs="ArialMT CE"/>
          <w:sz w:val="24"/>
          <w:szCs w:val="24"/>
          <w:lang w:val="pt-BR"/>
        </w:rPr>
        <w:t>ă</w:t>
      </w:r>
      <w:r w:rsidRPr="00793447">
        <w:rPr>
          <w:rFonts w:asciiTheme="majorHAnsi" w:hAnsiTheme="majorHAnsi" w:cs="Arial"/>
          <w:sz w:val="24"/>
          <w:szCs w:val="24"/>
          <w:lang w:val="pt-BR"/>
        </w:rPr>
        <w:t>laj</w:t>
      </w:r>
      <w:r w:rsidR="00714D13" w:rsidRPr="00793447">
        <w:rPr>
          <w:rFonts w:asciiTheme="majorHAnsi" w:hAnsiTheme="majorHAnsi" w:cs="Arial"/>
          <w:sz w:val="24"/>
          <w:szCs w:val="24"/>
          <w:lang w:val="pt-BR"/>
        </w:rPr>
        <w:t xml:space="preserve"> </w:t>
      </w:r>
      <w:r w:rsidRPr="00793447">
        <w:rPr>
          <w:rFonts w:asciiTheme="majorHAnsi" w:hAnsiTheme="majorHAnsi" w:cs="Arial"/>
          <w:sz w:val="24"/>
          <w:szCs w:val="24"/>
          <w:lang w:val="pt-BR"/>
        </w:rPr>
        <w:t>(1,1%).</w:t>
      </w:r>
    </w:p>
    <w:p w:rsidR="00793447" w:rsidRPr="00793447" w:rsidRDefault="00793447" w:rsidP="00871D27">
      <w:pPr>
        <w:autoSpaceDE w:val="0"/>
        <w:autoSpaceDN w:val="0"/>
        <w:adjustRightInd w:val="0"/>
        <w:spacing w:after="0" w:line="240" w:lineRule="auto"/>
        <w:ind w:firstLine="567"/>
        <w:jc w:val="both"/>
        <w:rPr>
          <w:rFonts w:asciiTheme="majorHAnsi" w:hAnsiTheme="majorHAnsi" w:cs="Arial"/>
          <w:sz w:val="24"/>
          <w:szCs w:val="24"/>
          <w:lang w:val="pt-BR"/>
        </w:rPr>
      </w:pPr>
    </w:p>
    <w:p w:rsidR="00793447" w:rsidRPr="00793447" w:rsidRDefault="00793447" w:rsidP="00871D27">
      <w:pPr>
        <w:autoSpaceDE w:val="0"/>
        <w:autoSpaceDN w:val="0"/>
        <w:adjustRightInd w:val="0"/>
        <w:spacing w:after="0" w:line="240" w:lineRule="auto"/>
        <w:ind w:firstLine="567"/>
        <w:jc w:val="both"/>
        <w:rPr>
          <w:rFonts w:asciiTheme="majorHAnsi" w:hAnsiTheme="majorHAnsi" w:cs="Arial"/>
          <w:sz w:val="24"/>
          <w:szCs w:val="24"/>
          <w:lang w:val="pt-BR"/>
        </w:rPr>
      </w:pPr>
    </w:p>
    <w:p w:rsidR="00871D27" w:rsidRPr="00793447" w:rsidRDefault="00871D27" w:rsidP="00871D27">
      <w:pPr>
        <w:autoSpaceDE w:val="0"/>
        <w:autoSpaceDN w:val="0"/>
        <w:adjustRightInd w:val="0"/>
        <w:spacing w:after="0" w:line="240" w:lineRule="auto"/>
        <w:ind w:firstLine="792"/>
        <w:jc w:val="both"/>
        <w:rPr>
          <w:rFonts w:asciiTheme="majorHAnsi" w:hAnsiTheme="majorHAnsi" w:cs="Calibri-Italic"/>
          <w:i/>
          <w:iCs/>
          <w:sz w:val="24"/>
          <w:szCs w:val="24"/>
          <w:lang w:val="pt-BR"/>
        </w:rPr>
      </w:pPr>
    </w:p>
    <w:p w:rsidR="003E53C9" w:rsidRPr="00793447" w:rsidRDefault="003E53C9" w:rsidP="00871D27">
      <w:pPr>
        <w:autoSpaceDE w:val="0"/>
        <w:autoSpaceDN w:val="0"/>
        <w:adjustRightInd w:val="0"/>
        <w:spacing w:after="0" w:line="240" w:lineRule="auto"/>
        <w:jc w:val="center"/>
        <w:outlineLvl w:val="0"/>
        <w:rPr>
          <w:rFonts w:asciiTheme="majorHAnsi" w:hAnsiTheme="majorHAnsi" w:cs="Arial"/>
          <w:b/>
          <w:bCs/>
          <w:color w:val="FF0000"/>
          <w:sz w:val="24"/>
          <w:szCs w:val="24"/>
          <w:lang w:val="pt-BR"/>
        </w:rPr>
      </w:pPr>
      <w:r w:rsidRPr="00793447">
        <w:rPr>
          <w:rFonts w:asciiTheme="majorHAnsi" w:hAnsiTheme="majorHAnsi" w:cs="Arial"/>
          <w:b/>
          <w:bCs/>
          <w:noProof/>
          <w:color w:val="FF0000"/>
          <w:sz w:val="24"/>
          <w:szCs w:val="24"/>
        </w:rPr>
        <w:drawing>
          <wp:inline distT="0" distB="0" distL="0" distR="0">
            <wp:extent cx="6515978" cy="460762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pulația după domiciliu la 1 ianuarie pe județ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0789" cy="4611028"/>
                    </a:xfrm>
                    <a:prstGeom prst="rect">
                      <a:avLst/>
                    </a:prstGeom>
                  </pic:spPr>
                </pic:pic>
              </a:graphicData>
            </a:graphic>
          </wp:inline>
        </w:drawing>
      </w:r>
    </w:p>
    <w:p w:rsidR="003E53C9" w:rsidRPr="00793447" w:rsidRDefault="003E53C9" w:rsidP="00871D27">
      <w:pPr>
        <w:autoSpaceDE w:val="0"/>
        <w:autoSpaceDN w:val="0"/>
        <w:adjustRightInd w:val="0"/>
        <w:spacing w:after="0" w:line="240" w:lineRule="auto"/>
        <w:jc w:val="center"/>
        <w:outlineLvl w:val="0"/>
        <w:rPr>
          <w:rFonts w:asciiTheme="majorHAnsi" w:hAnsiTheme="majorHAnsi" w:cs="Arial"/>
          <w:b/>
          <w:bCs/>
          <w:color w:val="FF0000"/>
          <w:sz w:val="24"/>
          <w:szCs w:val="24"/>
          <w:lang w:val="pt-BR"/>
        </w:rPr>
      </w:pPr>
    </w:p>
    <w:p w:rsidR="00871D27" w:rsidRPr="00793447" w:rsidRDefault="00871D27" w:rsidP="00871D27">
      <w:pPr>
        <w:autoSpaceDE w:val="0"/>
        <w:autoSpaceDN w:val="0"/>
        <w:adjustRightInd w:val="0"/>
        <w:spacing w:after="0" w:line="240" w:lineRule="auto"/>
        <w:jc w:val="center"/>
        <w:rPr>
          <w:rFonts w:asciiTheme="majorHAnsi" w:hAnsiTheme="majorHAnsi" w:cs="Arial"/>
          <w:color w:val="FF0000"/>
          <w:sz w:val="24"/>
          <w:szCs w:val="24"/>
          <w:lang w:val="pt-BR"/>
        </w:rPr>
      </w:pPr>
    </w:p>
    <w:p w:rsidR="00C60C37" w:rsidRPr="00793447" w:rsidRDefault="00C60C37" w:rsidP="00871D27">
      <w:pPr>
        <w:autoSpaceDE w:val="0"/>
        <w:autoSpaceDN w:val="0"/>
        <w:adjustRightInd w:val="0"/>
        <w:spacing w:after="0" w:line="240" w:lineRule="auto"/>
        <w:jc w:val="center"/>
        <w:rPr>
          <w:rFonts w:asciiTheme="majorHAnsi" w:hAnsiTheme="majorHAnsi" w:cs="Arial"/>
          <w:color w:val="FF0000"/>
          <w:sz w:val="24"/>
          <w:szCs w:val="24"/>
          <w:lang w:val="pt-BR"/>
        </w:rPr>
      </w:pPr>
    </w:p>
    <w:p w:rsidR="00793447" w:rsidRPr="00793447" w:rsidRDefault="00793447" w:rsidP="00871D27">
      <w:pPr>
        <w:autoSpaceDE w:val="0"/>
        <w:autoSpaceDN w:val="0"/>
        <w:adjustRightInd w:val="0"/>
        <w:spacing w:after="0" w:line="240" w:lineRule="auto"/>
        <w:jc w:val="center"/>
        <w:rPr>
          <w:rFonts w:asciiTheme="majorHAnsi" w:hAnsiTheme="majorHAnsi" w:cs="Arial"/>
          <w:color w:val="FF0000"/>
          <w:sz w:val="24"/>
          <w:szCs w:val="24"/>
          <w:lang w:val="pt-BR"/>
        </w:rPr>
      </w:pPr>
    </w:p>
    <w:p w:rsidR="00793447" w:rsidRPr="00793447" w:rsidRDefault="00793447" w:rsidP="00871D27">
      <w:pPr>
        <w:autoSpaceDE w:val="0"/>
        <w:autoSpaceDN w:val="0"/>
        <w:adjustRightInd w:val="0"/>
        <w:spacing w:after="0" w:line="240" w:lineRule="auto"/>
        <w:jc w:val="center"/>
        <w:rPr>
          <w:rFonts w:asciiTheme="majorHAnsi" w:hAnsiTheme="majorHAnsi" w:cs="Arial"/>
          <w:color w:val="FF0000"/>
          <w:sz w:val="24"/>
          <w:szCs w:val="24"/>
          <w:lang w:val="pt-BR"/>
        </w:rPr>
      </w:pPr>
    </w:p>
    <w:p w:rsidR="00793447" w:rsidRPr="00793447" w:rsidRDefault="00793447" w:rsidP="00871D27">
      <w:pPr>
        <w:autoSpaceDE w:val="0"/>
        <w:autoSpaceDN w:val="0"/>
        <w:adjustRightInd w:val="0"/>
        <w:spacing w:after="0" w:line="240" w:lineRule="auto"/>
        <w:jc w:val="center"/>
        <w:rPr>
          <w:rFonts w:asciiTheme="majorHAnsi" w:hAnsiTheme="majorHAnsi" w:cs="Arial"/>
          <w:color w:val="FF0000"/>
          <w:sz w:val="24"/>
          <w:szCs w:val="24"/>
          <w:lang w:val="pt-BR"/>
        </w:rPr>
      </w:pPr>
    </w:p>
    <w:p w:rsidR="00871D27" w:rsidRPr="00793447" w:rsidRDefault="00871D27" w:rsidP="00871D27">
      <w:pPr>
        <w:autoSpaceDE w:val="0"/>
        <w:autoSpaceDN w:val="0"/>
        <w:adjustRightInd w:val="0"/>
        <w:spacing w:after="0" w:line="240" w:lineRule="auto"/>
        <w:outlineLvl w:val="0"/>
        <w:rPr>
          <w:rFonts w:asciiTheme="majorHAnsi" w:hAnsiTheme="majorHAnsi" w:cs="Arial"/>
          <w:b/>
          <w:bCs/>
          <w:i/>
          <w:sz w:val="24"/>
          <w:szCs w:val="24"/>
          <w:lang w:val="pt-BR"/>
        </w:rPr>
      </w:pPr>
    </w:p>
    <w:p w:rsidR="00871D27" w:rsidRPr="00793447" w:rsidRDefault="00871D27" w:rsidP="00871D27">
      <w:pPr>
        <w:autoSpaceDE w:val="0"/>
        <w:autoSpaceDN w:val="0"/>
        <w:adjustRightInd w:val="0"/>
        <w:spacing w:after="0" w:line="240" w:lineRule="auto"/>
        <w:outlineLvl w:val="0"/>
        <w:rPr>
          <w:rFonts w:asciiTheme="majorHAnsi" w:hAnsiTheme="majorHAnsi" w:cs="Arial"/>
          <w:b/>
          <w:bCs/>
          <w:i/>
          <w:sz w:val="24"/>
          <w:szCs w:val="24"/>
          <w:lang w:val="pt-BR"/>
        </w:rPr>
      </w:pPr>
      <w:r w:rsidRPr="00793447">
        <w:rPr>
          <w:rFonts w:asciiTheme="majorHAnsi" w:hAnsiTheme="majorHAnsi" w:cs="Arial"/>
          <w:b/>
          <w:bCs/>
          <w:i/>
          <w:sz w:val="24"/>
          <w:szCs w:val="24"/>
          <w:lang w:val="pt-BR"/>
        </w:rPr>
        <w:t>Fenomenul de îmb</w:t>
      </w:r>
      <w:r w:rsidRPr="00793447">
        <w:rPr>
          <w:rFonts w:asciiTheme="majorHAnsi" w:hAnsiTheme="majorHAnsi" w:cs="Arial-BoldMT"/>
          <w:b/>
          <w:bCs/>
          <w:i/>
          <w:sz w:val="24"/>
          <w:szCs w:val="24"/>
          <w:lang w:val="pt-BR"/>
        </w:rPr>
        <w:t>ă</w:t>
      </w:r>
      <w:r w:rsidRPr="00793447">
        <w:rPr>
          <w:rFonts w:asciiTheme="majorHAnsi" w:hAnsiTheme="majorHAnsi" w:cs="Arial"/>
          <w:b/>
          <w:bCs/>
          <w:i/>
          <w:sz w:val="24"/>
          <w:szCs w:val="24"/>
          <w:lang w:val="pt-BR"/>
        </w:rPr>
        <w:t>trânire a popula</w:t>
      </w:r>
      <w:r w:rsidRPr="00793447">
        <w:rPr>
          <w:rFonts w:asciiTheme="majorHAnsi" w:hAnsiTheme="majorHAnsi" w:cs="Arial-BoldMT"/>
          <w:b/>
          <w:bCs/>
          <w:i/>
          <w:sz w:val="24"/>
          <w:szCs w:val="24"/>
          <w:lang w:val="pt-BR"/>
        </w:rPr>
        <w:t>ţ</w:t>
      </w:r>
      <w:r w:rsidRPr="00793447">
        <w:rPr>
          <w:rFonts w:asciiTheme="majorHAnsi" w:hAnsiTheme="majorHAnsi" w:cs="Arial"/>
          <w:b/>
          <w:bCs/>
          <w:i/>
          <w:sz w:val="24"/>
          <w:szCs w:val="24"/>
          <w:lang w:val="pt-BR"/>
        </w:rPr>
        <w:t>iei</w:t>
      </w:r>
      <w:r w:rsidR="00793447" w:rsidRPr="00793447">
        <w:rPr>
          <w:rStyle w:val="FootnoteReference"/>
          <w:rFonts w:asciiTheme="majorHAnsi" w:hAnsiTheme="majorHAnsi" w:cs="Arial"/>
          <w:b/>
          <w:bCs/>
          <w:i/>
          <w:sz w:val="24"/>
          <w:szCs w:val="24"/>
          <w:lang w:val="pt-BR"/>
        </w:rPr>
        <w:footnoteReference w:id="2"/>
      </w:r>
    </w:p>
    <w:p w:rsidR="00793447" w:rsidRPr="00793447" w:rsidRDefault="00793447" w:rsidP="00871D27">
      <w:pPr>
        <w:autoSpaceDE w:val="0"/>
        <w:autoSpaceDN w:val="0"/>
        <w:adjustRightInd w:val="0"/>
        <w:spacing w:after="0" w:line="240" w:lineRule="auto"/>
        <w:outlineLvl w:val="0"/>
        <w:rPr>
          <w:rFonts w:asciiTheme="majorHAnsi" w:hAnsiTheme="majorHAnsi" w:cs="Arial"/>
          <w:b/>
          <w:bCs/>
          <w:i/>
          <w:sz w:val="24"/>
          <w:szCs w:val="24"/>
          <w:lang w:val="pt-BR"/>
        </w:rPr>
      </w:pPr>
    </w:p>
    <w:p w:rsidR="00793447" w:rsidRPr="00793447" w:rsidRDefault="00793447" w:rsidP="00793447">
      <w:pPr>
        <w:spacing w:after="0" w:line="240" w:lineRule="auto"/>
        <w:ind w:firstLine="567"/>
        <w:jc w:val="both"/>
        <w:rPr>
          <w:rFonts w:asciiTheme="majorHAnsi" w:hAnsiTheme="majorHAnsi"/>
          <w:sz w:val="24"/>
          <w:szCs w:val="24"/>
          <w:lang w:val="sq-AL"/>
        </w:rPr>
      </w:pPr>
      <w:r w:rsidRPr="00793447">
        <w:rPr>
          <w:rFonts w:asciiTheme="majorHAnsi" w:hAnsiTheme="majorHAnsi"/>
          <w:sz w:val="24"/>
          <w:szCs w:val="24"/>
          <w:lang w:val="sq-AL"/>
        </w:rPr>
        <w:t xml:space="preserve">Structura pe vârste a populaţiei </w:t>
      </w:r>
      <w:r w:rsidRPr="00793447">
        <w:rPr>
          <w:rFonts w:asciiTheme="majorHAnsi" w:hAnsiTheme="majorHAnsi" w:cs="Arial"/>
          <w:sz w:val="24"/>
          <w:szCs w:val="24"/>
          <w:lang w:val="pt-BR"/>
        </w:rPr>
        <w:t>dup</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domiciliu</w:t>
      </w:r>
      <w:r w:rsidRPr="00793447">
        <w:rPr>
          <w:rFonts w:asciiTheme="majorHAnsi" w:hAnsiTheme="majorHAnsi"/>
          <w:sz w:val="24"/>
          <w:szCs w:val="24"/>
          <w:lang w:val="sq-AL"/>
        </w:rPr>
        <w:t xml:space="preserve"> poartă amprenta caracteristică fenomenului de îmbătrânire demografică, datorat în principal scăderii natalitaţii, care a determinat reducerea absolută şi relativă a populaţiei tinere (0-14 ani).</w:t>
      </w:r>
    </w:p>
    <w:p w:rsidR="00793447" w:rsidRPr="00793447" w:rsidRDefault="00793447" w:rsidP="00793447">
      <w:pPr>
        <w:spacing w:after="0" w:line="240" w:lineRule="auto"/>
        <w:ind w:firstLine="567"/>
        <w:jc w:val="both"/>
        <w:rPr>
          <w:rFonts w:asciiTheme="majorHAnsi" w:hAnsiTheme="majorHAnsi"/>
          <w:sz w:val="24"/>
          <w:szCs w:val="24"/>
          <w:lang w:val="fr-FR"/>
        </w:rPr>
      </w:pPr>
      <w:r w:rsidRPr="00793447">
        <w:rPr>
          <w:rFonts w:asciiTheme="majorHAnsi" w:hAnsiTheme="majorHAnsi"/>
          <w:sz w:val="24"/>
          <w:szCs w:val="24"/>
          <w:lang w:val="fr-FR"/>
        </w:rPr>
        <w:t xml:space="preserve">Ponderea populaţiei tinere de 0-14 ani a fost de 13,2%, în timp ce ponderea populaţiei vârstnice de 65 de ani şi peste în total populaţie a fost de 19,4%. Populaţia </w:t>
      </w:r>
      <w:r w:rsidRPr="00793447">
        <w:rPr>
          <w:rFonts w:asciiTheme="majorHAnsi" w:hAnsiTheme="majorHAnsi" w:cs="Arial"/>
          <w:sz w:val="24"/>
          <w:szCs w:val="24"/>
          <w:lang w:val="pt-BR"/>
        </w:rPr>
        <w:t>dup</w:t>
      </w:r>
      <w:r w:rsidRPr="00793447">
        <w:rPr>
          <w:rFonts w:asciiTheme="majorHAnsi" w:hAnsiTheme="majorHAnsi" w:cs="ArialMT CE"/>
          <w:sz w:val="24"/>
          <w:szCs w:val="24"/>
          <w:lang w:val="pt-BR"/>
        </w:rPr>
        <w:t xml:space="preserve">ă </w:t>
      </w:r>
      <w:r w:rsidRPr="00793447">
        <w:rPr>
          <w:rFonts w:asciiTheme="majorHAnsi" w:hAnsiTheme="majorHAnsi" w:cs="Arial"/>
          <w:sz w:val="24"/>
          <w:szCs w:val="24"/>
          <w:lang w:val="pt-BR"/>
        </w:rPr>
        <w:t>domiciliu</w:t>
      </w:r>
      <w:r w:rsidRPr="00793447">
        <w:rPr>
          <w:rFonts w:asciiTheme="majorHAnsi" w:hAnsiTheme="majorHAnsi"/>
          <w:sz w:val="24"/>
          <w:szCs w:val="24"/>
          <w:lang w:val="fr-FR"/>
        </w:rPr>
        <w:t xml:space="preserve"> adultă (15-64 ani) reprezintă 67,4% din total populaţie.</w:t>
      </w:r>
    </w:p>
    <w:p w:rsidR="00871D27" w:rsidRPr="00793447" w:rsidRDefault="00871D27" w:rsidP="00871D27">
      <w:pPr>
        <w:tabs>
          <w:tab w:val="left" w:pos="0"/>
        </w:tabs>
        <w:spacing w:after="0" w:line="240" w:lineRule="auto"/>
        <w:jc w:val="both"/>
        <w:rPr>
          <w:rFonts w:asciiTheme="majorHAnsi" w:hAnsiTheme="majorHAnsi"/>
          <w:sz w:val="24"/>
          <w:szCs w:val="24"/>
          <w:lang w:val="pt-BR"/>
        </w:rPr>
      </w:pPr>
      <w:r w:rsidRPr="00793447">
        <w:rPr>
          <w:rFonts w:asciiTheme="majorHAnsi" w:hAnsiTheme="majorHAnsi" w:cs="Arial"/>
          <w:bCs/>
          <w:color w:val="FF0000"/>
          <w:sz w:val="24"/>
          <w:szCs w:val="24"/>
          <w:lang w:val="pt-BR"/>
        </w:rPr>
        <w:tab/>
      </w:r>
      <w:r w:rsidRPr="00793447">
        <w:rPr>
          <w:rFonts w:asciiTheme="majorHAnsi" w:hAnsiTheme="majorHAnsi" w:cs="Arial"/>
          <w:bCs/>
          <w:sz w:val="24"/>
          <w:szCs w:val="24"/>
          <w:lang w:val="pt-BR"/>
        </w:rPr>
        <w:t xml:space="preserve">În profil teritorial se observă un indice de îmbătrânire demografică ridicat în judeţele: </w:t>
      </w:r>
      <w:r w:rsidRPr="00793447">
        <w:rPr>
          <w:rFonts w:asciiTheme="majorHAnsi" w:hAnsiTheme="majorHAnsi"/>
          <w:sz w:val="24"/>
          <w:szCs w:val="24"/>
          <w:lang w:val="pt-BR"/>
        </w:rPr>
        <w:t xml:space="preserve">Vâlcea </w:t>
      </w:r>
      <w:r w:rsidR="006A0111" w:rsidRPr="00793447">
        <w:rPr>
          <w:rFonts w:asciiTheme="majorHAnsi" w:hAnsiTheme="majorHAnsi"/>
          <w:sz w:val="24"/>
          <w:szCs w:val="24"/>
          <w:lang w:val="pt-BR"/>
        </w:rPr>
        <w:t>193,4</w:t>
      </w:r>
      <w:r w:rsidRPr="00793447">
        <w:rPr>
          <w:rFonts w:asciiTheme="majorHAnsi" w:hAnsiTheme="majorHAnsi"/>
          <w:sz w:val="24"/>
          <w:szCs w:val="24"/>
          <w:lang w:val="pt-BR"/>
        </w:rPr>
        <w:t xml:space="preserve">%, Teleorman </w:t>
      </w:r>
      <w:r w:rsidR="006A0111" w:rsidRPr="00793447">
        <w:rPr>
          <w:rFonts w:asciiTheme="majorHAnsi" w:hAnsiTheme="majorHAnsi"/>
          <w:sz w:val="24"/>
          <w:szCs w:val="24"/>
          <w:lang w:val="pt-BR"/>
        </w:rPr>
        <w:t>189,6</w:t>
      </w:r>
      <w:r w:rsidRPr="00793447">
        <w:rPr>
          <w:rFonts w:asciiTheme="majorHAnsi" w:hAnsiTheme="majorHAnsi"/>
          <w:sz w:val="24"/>
          <w:szCs w:val="24"/>
          <w:lang w:val="pt-BR"/>
        </w:rPr>
        <w:t xml:space="preserve">%, Brăila </w:t>
      </w:r>
      <w:r w:rsidR="006A0111" w:rsidRPr="00793447">
        <w:rPr>
          <w:rFonts w:asciiTheme="majorHAnsi" w:hAnsiTheme="majorHAnsi"/>
          <w:sz w:val="24"/>
          <w:szCs w:val="24"/>
          <w:lang w:val="pt-BR"/>
        </w:rPr>
        <w:t>170,9</w:t>
      </w:r>
      <w:r w:rsidRPr="00793447">
        <w:rPr>
          <w:rFonts w:asciiTheme="majorHAnsi" w:hAnsiTheme="majorHAnsi"/>
          <w:sz w:val="24"/>
          <w:szCs w:val="24"/>
          <w:lang w:val="pt-BR"/>
        </w:rPr>
        <w:t xml:space="preserve">%, Caraş-Severin </w:t>
      </w:r>
      <w:r w:rsidR="006A0111" w:rsidRPr="00793447">
        <w:rPr>
          <w:rFonts w:asciiTheme="majorHAnsi" w:hAnsiTheme="majorHAnsi"/>
          <w:sz w:val="24"/>
          <w:szCs w:val="24"/>
          <w:lang w:val="pt-BR"/>
        </w:rPr>
        <w:t>168,7</w:t>
      </w:r>
      <w:r w:rsidRPr="00793447">
        <w:rPr>
          <w:rFonts w:asciiTheme="majorHAnsi" w:hAnsiTheme="majorHAnsi"/>
          <w:sz w:val="24"/>
          <w:szCs w:val="24"/>
          <w:lang w:val="pt-BR"/>
        </w:rPr>
        <w:t xml:space="preserve">%, </w:t>
      </w:r>
      <w:r w:rsidR="00ED559A" w:rsidRPr="00793447">
        <w:rPr>
          <w:rFonts w:asciiTheme="majorHAnsi" w:hAnsiTheme="majorHAnsi"/>
          <w:sz w:val="24"/>
          <w:szCs w:val="24"/>
          <w:lang w:val="pt-BR"/>
        </w:rPr>
        <w:t>Hunedoara</w:t>
      </w:r>
      <w:r w:rsidR="005B58E8" w:rsidRPr="00793447">
        <w:rPr>
          <w:rFonts w:asciiTheme="majorHAnsi" w:hAnsiTheme="majorHAnsi"/>
          <w:sz w:val="24"/>
          <w:szCs w:val="24"/>
          <w:lang w:val="pt-BR"/>
        </w:rPr>
        <w:t xml:space="preserve"> 159,9%</w:t>
      </w:r>
      <w:r w:rsidR="00ED559A" w:rsidRPr="00793447">
        <w:rPr>
          <w:rFonts w:asciiTheme="majorHAnsi" w:hAnsiTheme="majorHAnsi"/>
          <w:sz w:val="24"/>
          <w:szCs w:val="24"/>
          <w:lang w:val="pt-BR"/>
        </w:rPr>
        <w:t xml:space="preserve"> </w:t>
      </w:r>
      <w:r w:rsidR="000362E8" w:rsidRPr="00793447">
        <w:rPr>
          <w:rFonts w:asciiTheme="majorHAnsi" w:hAnsiTheme="majorHAnsi"/>
          <w:sz w:val="24"/>
          <w:szCs w:val="24"/>
          <w:lang w:val="pt-BR"/>
        </w:rPr>
        <w:t>și</w:t>
      </w:r>
      <w:r w:rsidR="00ED559A" w:rsidRPr="00793447">
        <w:rPr>
          <w:rFonts w:asciiTheme="majorHAnsi" w:hAnsiTheme="majorHAnsi"/>
          <w:sz w:val="24"/>
          <w:szCs w:val="24"/>
          <w:lang w:val="pt-BR"/>
        </w:rPr>
        <w:t xml:space="preserve"> </w:t>
      </w:r>
      <w:r w:rsidRPr="00793447">
        <w:rPr>
          <w:rFonts w:asciiTheme="majorHAnsi" w:hAnsiTheme="majorHAnsi"/>
          <w:sz w:val="24"/>
          <w:szCs w:val="24"/>
          <w:lang w:val="pt-BR"/>
        </w:rPr>
        <w:t xml:space="preserve">Olt </w:t>
      </w:r>
      <w:r w:rsidR="006A0111" w:rsidRPr="00793447">
        <w:rPr>
          <w:rFonts w:asciiTheme="majorHAnsi" w:hAnsiTheme="majorHAnsi"/>
          <w:sz w:val="24"/>
          <w:szCs w:val="24"/>
          <w:lang w:val="pt-BR"/>
        </w:rPr>
        <w:t>158,9</w:t>
      </w:r>
      <w:r w:rsidRPr="00793447">
        <w:rPr>
          <w:rFonts w:asciiTheme="majorHAnsi" w:hAnsiTheme="majorHAnsi"/>
          <w:sz w:val="24"/>
          <w:szCs w:val="24"/>
          <w:lang w:val="pt-BR"/>
        </w:rPr>
        <w:t xml:space="preserve">%, </w:t>
      </w:r>
      <w:r w:rsidRPr="00793447">
        <w:rPr>
          <w:rFonts w:asciiTheme="majorHAnsi" w:hAnsiTheme="majorHAnsi" w:cs="Arial"/>
          <w:sz w:val="24"/>
          <w:szCs w:val="24"/>
          <w:lang w:val="pt-BR"/>
        </w:rPr>
        <w:t xml:space="preserve">iar cele mai scăzute valori se înregistrează în judeţele: </w:t>
      </w:r>
      <w:r w:rsidRPr="00793447">
        <w:rPr>
          <w:rFonts w:asciiTheme="majorHAnsi" w:hAnsiTheme="majorHAnsi"/>
          <w:sz w:val="24"/>
          <w:szCs w:val="24"/>
          <w:lang w:val="pt-BR"/>
        </w:rPr>
        <w:t>Ilfov 7</w:t>
      </w:r>
      <w:r w:rsidR="006A0111" w:rsidRPr="00793447">
        <w:rPr>
          <w:rFonts w:asciiTheme="majorHAnsi" w:hAnsiTheme="majorHAnsi"/>
          <w:sz w:val="24"/>
          <w:szCs w:val="24"/>
          <w:lang w:val="pt-BR"/>
        </w:rPr>
        <w:t>5</w:t>
      </w:r>
      <w:r w:rsidRPr="00793447">
        <w:rPr>
          <w:rFonts w:asciiTheme="majorHAnsi" w:hAnsiTheme="majorHAnsi"/>
          <w:sz w:val="24"/>
          <w:szCs w:val="24"/>
          <w:lang w:val="pt-BR"/>
        </w:rPr>
        <w:t>,</w:t>
      </w:r>
      <w:r w:rsidR="006A0111" w:rsidRPr="00793447">
        <w:rPr>
          <w:rFonts w:asciiTheme="majorHAnsi" w:hAnsiTheme="majorHAnsi"/>
          <w:sz w:val="24"/>
          <w:szCs w:val="24"/>
          <w:lang w:val="pt-BR"/>
        </w:rPr>
        <w:t>4</w:t>
      </w:r>
      <w:r w:rsidRPr="00793447">
        <w:rPr>
          <w:rFonts w:asciiTheme="majorHAnsi" w:hAnsiTheme="majorHAnsi"/>
          <w:sz w:val="24"/>
          <w:szCs w:val="24"/>
          <w:lang w:val="pt-BR"/>
        </w:rPr>
        <w:t>%, Iaşi 8</w:t>
      </w:r>
      <w:r w:rsidR="006A0111" w:rsidRPr="00793447">
        <w:rPr>
          <w:rFonts w:asciiTheme="majorHAnsi" w:hAnsiTheme="majorHAnsi"/>
          <w:sz w:val="24"/>
          <w:szCs w:val="24"/>
          <w:lang w:val="pt-BR"/>
        </w:rPr>
        <w:t>2</w:t>
      </w:r>
      <w:r w:rsidRPr="00793447">
        <w:rPr>
          <w:rFonts w:asciiTheme="majorHAnsi" w:hAnsiTheme="majorHAnsi"/>
          <w:sz w:val="24"/>
          <w:szCs w:val="24"/>
          <w:lang w:val="pt-BR"/>
        </w:rPr>
        <w:t>,3%, Suceava 84,</w:t>
      </w:r>
      <w:r w:rsidR="006A0111" w:rsidRPr="00793447">
        <w:rPr>
          <w:rFonts w:asciiTheme="majorHAnsi" w:hAnsiTheme="majorHAnsi"/>
          <w:sz w:val="24"/>
          <w:szCs w:val="24"/>
          <w:lang w:val="pt-BR"/>
        </w:rPr>
        <w:t>9</w:t>
      </w:r>
      <w:r w:rsidRPr="00793447">
        <w:rPr>
          <w:rFonts w:asciiTheme="majorHAnsi" w:hAnsiTheme="majorHAnsi"/>
          <w:sz w:val="24"/>
          <w:szCs w:val="24"/>
          <w:lang w:val="pt-BR"/>
        </w:rPr>
        <w:t>%, Vaslui 9</w:t>
      </w:r>
      <w:r w:rsidR="006A0111" w:rsidRPr="00793447">
        <w:rPr>
          <w:rFonts w:asciiTheme="majorHAnsi" w:hAnsiTheme="majorHAnsi"/>
          <w:sz w:val="24"/>
          <w:szCs w:val="24"/>
          <w:lang w:val="pt-BR"/>
        </w:rPr>
        <w:t>0</w:t>
      </w:r>
      <w:r w:rsidRPr="00793447">
        <w:rPr>
          <w:rFonts w:asciiTheme="majorHAnsi" w:hAnsiTheme="majorHAnsi"/>
          <w:sz w:val="24"/>
          <w:szCs w:val="24"/>
          <w:lang w:val="pt-BR"/>
        </w:rPr>
        <w:t>,</w:t>
      </w:r>
      <w:r w:rsidR="00590470" w:rsidRPr="00793447">
        <w:rPr>
          <w:rFonts w:asciiTheme="majorHAnsi" w:hAnsiTheme="majorHAnsi"/>
          <w:sz w:val="24"/>
          <w:szCs w:val="24"/>
          <w:lang w:val="pt-BR"/>
        </w:rPr>
        <w:t>6</w:t>
      </w:r>
      <w:r w:rsidRPr="00793447">
        <w:rPr>
          <w:rFonts w:asciiTheme="majorHAnsi" w:hAnsiTheme="majorHAnsi"/>
          <w:sz w:val="24"/>
          <w:szCs w:val="24"/>
          <w:lang w:val="pt-BR"/>
        </w:rPr>
        <w:t>%, Bistriţa-Năsăud 9</w:t>
      </w:r>
      <w:r w:rsidR="00590470" w:rsidRPr="00793447">
        <w:rPr>
          <w:rFonts w:asciiTheme="majorHAnsi" w:hAnsiTheme="majorHAnsi"/>
          <w:sz w:val="24"/>
          <w:szCs w:val="24"/>
          <w:lang w:val="pt-BR"/>
        </w:rPr>
        <w:t>8</w:t>
      </w:r>
      <w:r w:rsidRPr="00793447">
        <w:rPr>
          <w:rFonts w:asciiTheme="majorHAnsi" w:hAnsiTheme="majorHAnsi"/>
          <w:sz w:val="24"/>
          <w:szCs w:val="24"/>
          <w:lang w:val="pt-BR"/>
        </w:rPr>
        <w:t>,</w:t>
      </w:r>
      <w:r w:rsidR="00590470" w:rsidRPr="00793447">
        <w:rPr>
          <w:rFonts w:asciiTheme="majorHAnsi" w:hAnsiTheme="majorHAnsi"/>
          <w:sz w:val="24"/>
          <w:szCs w:val="24"/>
          <w:lang w:val="pt-BR"/>
        </w:rPr>
        <w:t>2</w:t>
      </w:r>
      <w:r w:rsidRPr="00793447">
        <w:rPr>
          <w:rFonts w:asciiTheme="majorHAnsi" w:hAnsiTheme="majorHAnsi"/>
          <w:sz w:val="24"/>
          <w:szCs w:val="24"/>
          <w:lang w:val="pt-BR"/>
        </w:rPr>
        <w:t>%.</w:t>
      </w:r>
    </w:p>
    <w:p w:rsidR="00871D27" w:rsidRPr="00793447" w:rsidRDefault="00871D27" w:rsidP="00871D27">
      <w:pPr>
        <w:tabs>
          <w:tab w:val="left" w:pos="0"/>
        </w:tabs>
        <w:spacing w:after="0" w:line="240" w:lineRule="auto"/>
        <w:jc w:val="both"/>
        <w:rPr>
          <w:rFonts w:asciiTheme="majorHAnsi" w:hAnsiTheme="majorHAnsi"/>
          <w:color w:val="000000" w:themeColor="text1"/>
          <w:sz w:val="24"/>
          <w:szCs w:val="24"/>
          <w:lang w:val="pt-BR"/>
        </w:rPr>
      </w:pPr>
      <w:r w:rsidRPr="00793447">
        <w:rPr>
          <w:rFonts w:asciiTheme="majorHAnsi" w:hAnsiTheme="majorHAnsi"/>
          <w:sz w:val="24"/>
          <w:szCs w:val="24"/>
          <w:lang w:val="pt-BR"/>
        </w:rPr>
        <w:tab/>
        <w:t xml:space="preserve">În județul Prahova, indicele de îmbătrânire a populației a fost </w:t>
      </w:r>
      <w:r w:rsidR="003A22B7" w:rsidRPr="00793447">
        <w:rPr>
          <w:rFonts w:asciiTheme="majorHAnsi" w:hAnsiTheme="majorHAnsi"/>
          <w:sz w:val="24"/>
          <w:szCs w:val="24"/>
          <w:lang w:val="pt-BR"/>
        </w:rPr>
        <w:t xml:space="preserve">de </w:t>
      </w:r>
      <w:r w:rsidR="0090765D" w:rsidRPr="00793447">
        <w:rPr>
          <w:rFonts w:asciiTheme="majorHAnsi" w:hAnsiTheme="majorHAnsi"/>
          <w:sz w:val="24"/>
          <w:szCs w:val="24"/>
          <w:lang w:val="pt-BR"/>
        </w:rPr>
        <w:t>147,</w:t>
      </w:r>
      <w:r w:rsidR="00590470" w:rsidRPr="00793447">
        <w:rPr>
          <w:rFonts w:asciiTheme="majorHAnsi" w:hAnsiTheme="majorHAnsi"/>
          <w:sz w:val="24"/>
          <w:szCs w:val="24"/>
          <w:lang w:val="pt-BR"/>
        </w:rPr>
        <w:t>5</w:t>
      </w:r>
      <w:r w:rsidRPr="00793447">
        <w:rPr>
          <w:rFonts w:asciiTheme="majorHAnsi" w:hAnsiTheme="majorHAnsi"/>
          <w:sz w:val="24"/>
          <w:szCs w:val="24"/>
          <w:lang w:val="pt-BR"/>
        </w:rPr>
        <w:t xml:space="preserve"> </w:t>
      </w:r>
      <w:r w:rsidRPr="00793447">
        <w:rPr>
          <w:rFonts w:asciiTheme="majorHAnsi" w:hAnsiTheme="majorHAnsi"/>
          <w:color w:val="000000" w:themeColor="text1"/>
          <w:sz w:val="24"/>
          <w:szCs w:val="24"/>
          <w:lang w:val="pt-BR"/>
        </w:rPr>
        <w:t>persoane vârstnice la 100 persoane tinere.</w:t>
      </w:r>
    </w:p>
    <w:p w:rsidR="00871D27" w:rsidRPr="00793447" w:rsidRDefault="003E53C9" w:rsidP="00871D27">
      <w:pPr>
        <w:ind w:right="219"/>
        <w:jc w:val="center"/>
        <w:rPr>
          <w:rFonts w:asciiTheme="majorHAnsi" w:hAnsiTheme="majorHAnsi"/>
          <w:color w:val="FF0000"/>
          <w:sz w:val="24"/>
          <w:szCs w:val="24"/>
        </w:rPr>
      </w:pPr>
      <w:r w:rsidRPr="00793447">
        <w:rPr>
          <w:rFonts w:asciiTheme="majorHAnsi" w:hAnsiTheme="majorHAnsi"/>
          <w:noProof/>
          <w:color w:val="FF0000"/>
          <w:sz w:val="24"/>
          <w:szCs w:val="24"/>
        </w:rPr>
        <w:drawing>
          <wp:inline distT="0" distB="0" distL="0" distR="0">
            <wp:extent cx="6412676" cy="4534578"/>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dicele de imbatranire a populatiei dupa domiciliu la 1 ianuari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4129" cy="4535606"/>
                    </a:xfrm>
                    <a:prstGeom prst="rect">
                      <a:avLst/>
                    </a:prstGeom>
                  </pic:spPr>
                </pic:pic>
              </a:graphicData>
            </a:graphic>
          </wp:inline>
        </w:drawing>
      </w:r>
    </w:p>
    <w:p w:rsidR="00793447" w:rsidRDefault="00793447" w:rsidP="00871D27">
      <w:pPr>
        <w:ind w:right="219"/>
        <w:rPr>
          <w:rFonts w:asciiTheme="majorHAnsi" w:hAnsiTheme="majorHAnsi"/>
          <w:color w:val="FF0000"/>
          <w:sz w:val="24"/>
          <w:szCs w:val="24"/>
        </w:rPr>
      </w:pPr>
    </w:p>
    <w:p w:rsidR="00930B66" w:rsidRDefault="00930B66" w:rsidP="00871D27">
      <w:pPr>
        <w:ind w:right="219"/>
        <w:rPr>
          <w:rFonts w:asciiTheme="majorHAnsi" w:hAnsiTheme="majorHAnsi"/>
          <w:color w:val="FF0000"/>
          <w:sz w:val="24"/>
          <w:szCs w:val="24"/>
        </w:rPr>
      </w:pPr>
    </w:p>
    <w:p w:rsidR="00930B66" w:rsidRPr="00793447" w:rsidRDefault="00930B66" w:rsidP="00871D27">
      <w:pPr>
        <w:ind w:right="219"/>
        <w:rPr>
          <w:rFonts w:asciiTheme="majorHAnsi" w:hAnsiTheme="majorHAnsi"/>
          <w:color w:val="FF0000"/>
          <w:sz w:val="24"/>
          <w:szCs w:val="24"/>
        </w:rPr>
      </w:pPr>
    </w:p>
    <w:p w:rsidR="00457EF0" w:rsidRPr="00793447" w:rsidRDefault="00457EF0" w:rsidP="00457EF0">
      <w:pPr>
        <w:autoSpaceDE w:val="0"/>
        <w:autoSpaceDN w:val="0"/>
        <w:adjustRightInd w:val="0"/>
        <w:spacing w:after="0" w:line="240" w:lineRule="auto"/>
        <w:outlineLvl w:val="0"/>
        <w:rPr>
          <w:rFonts w:asciiTheme="majorHAnsi" w:hAnsiTheme="majorHAnsi" w:cs="Arial"/>
          <w:b/>
          <w:bCs/>
          <w:i/>
          <w:sz w:val="24"/>
          <w:szCs w:val="24"/>
          <w:lang w:val="pt-BR"/>
        </w:rPr>
      </w:pPr>
      <w:r w:rsidRPr="00793447">
        <w:rPr>
          <w:rFonts w:asciiTheme="majorHAnsi" w:hAnsiTheme="majorHAnsi" w:cs="Arial"/>
          <w:b/>
          <w:bCs/>
          <w:i/>
          <w:sz w:val="24"/>
          <w:szCs w:val="24"/>
          <w:lang w:val="pt-BR"/>
        </w:rPr>
        <w:t>Populația rezidentă</w:t>
      </w:r>
      <w:r w:rsidR="00793447" w:rsidRPr="00793447">
        <w:rPr>
          <w:rFonts w:asciiTheme="majorHAnsi" w:hAnsiTheme="majorHAnsi" w:cs="Arial"/>
          <w:b/>
          <w:bCs/>
          <w:i/>
          <w:sz w:val="24"/>
          <w:szCs w:val="24"/>
          <w:lang w:val="pt-BR"/>
        </w:rPr>
        <w:t xml:space="preserve"> la 1 ianuarie 2023</w:t>
      </w:r>
      <w:r w:rsidR="00930B66" w:rsidRPr="00793447">
        <w:rPr>
          <w:rStyle w:val="FootnoteReference"/>
          <w:rFonts w:asciiTheme="majorHAnsi" w:hAnsiTheme="majorHAnsi" w:cs="Arial"/>
          <w:b/>
          <w:bCs/>
          <w:i/>
          <w:sz w:val="24"/>
          <w:szCs w:val="24"/>
          <w:lang w:val="pt-BR"/>
        </w:rPr>
        <w:footnoteReference w:id="3"/>
      </w:r>
    </w:p>
    <w:p w:rsidR="00457EF0" w:rsidRPr="00793447" w:rsidRDefault="00457EF0" w:rsidP="00457EF0">
      <w:pPr>
        <w:spacing w:after="0" w:line="240" w:lineRule="auto"/>
        <w:jc w:val="center"/>
        <w:outlineLvl w:val="0"/>
        <w:rPr>
          <w:rFonts w:asciiTheme="majorHAnsi" w:hAnsiTheme="majorHAnsi"/>
          <w:b/>
          <w:sz w:val="24"/>
          <w:szCs w:val="24"/>
        </w:rPr>
      </w:pPr>
    </w:p>
    <w:p w:rsidR="00457EF0" w:rsidRPr="00793447" w:rsidRDefault="00457EF0" w:rsidP="00457EF0">
      <w:pPr>
        <w:spacing w:after="0" w:line="240" w:lineRule="auto"/>
        <w:ind w:firstLine="360"/>
        <w:jc w:val="both"/>
        <w:rPr>
          <w:rFonts w:asciiTheme="majorHAnsi" w:hAnsiTheme="majorHAnsi"/>
          <w:sz w:val="24"/>
          <w:szCs w:val="24"/>
        </w:rPr>
      </w:pPr>
    </w:p>
    <w:p w:rsidR="00457EF0" w:rsidRPr="00793447" w:rsidRDefault="00457EF0" w:rsidP="00457EF0">
      <w:pPr>
        <w:spacing w:after="0" w:line="240" w:lineRule="auto"/>
        <w:ind w:firstLine="357"/>
        <w:jc w:val="both"/>
        <w:rPr>
          <w:rFonts w:asciiTheme="majorHAnsi" w:hAnsiTheme="majorHAnsi"/>
          <w:sz w:val="24"/>
          <w:szCs w:val="24"/>
        </w:rPr>
      </w:pPr>
      <w:r w:rsidRPr="00793447">
        <w:rPr>
          <w:rFonts w:asciiTheme="majorHAnsi" w:hAnsiTheme="majorHAnsi"/>
          <w:sz w:val="24"/>
          <w:szCs w:val="24"/>
        </w:rPr>
        <w:t>La 1 ianuarie 2023, populaţia rezidentă din judeţul Prahova, a fost de 686034 persoane, în scădere cu 1,2% faţă de 1 ianuarie 2022.</w:t>
      </w:r>
    </w:p>
    <w:p w:rsidR="00457EF0" w:rsidRPr="00793447" w:rsidRDefault="00457EF0" w:rsidP="00457EF0">
      <w:pPr>
        <w:spacing w:after="0" w:line="240" w:lineRule="auto"/>
        <w:ind w:firstLine="357"/>
        <w:jc w:val="both"/>
        <w:rPr>
          <w:rFonts w:asciiTheme="majorHAnsi" w:hAnsiTheme="majorHAnsi"/>
          <w:sz w:val="24"/>
          <w:szCs w:val="24"/>
        </w:rPr>
      </w:pPr>
      <w:r w:rsidRPr="00793447">
        <w:rPr>
          <w:rFonts w:asciiTheme="majorHAnsi" w:hAnsiTheme="majorHAnsi"/>
          <w:sz w:val="24"/>
          <w:szCs w:val="24"/>
        </w:rPr>
        <w:t xml:space="preserve">Populaţia feminină din judeţul Prahova, la 1 ianuarie 2023, a fost de 355487 persoane, reprezentând 51,8% din populaţia judeţului. </w:t>
      </w:r>
    </w:p>
    <w:p w:rsidR="00457EF0" w:rsidRPr="00793447" w:rsidRDefault="00457EF0" w:rsidP="00457EF0">
      <w:pPr>
        <w:autoSpaceDE w:val="0"/>
        <w:autoSpaceDN w:val="0"/>
        <w:adjustRightInd w:val="0"/>
        <w:spacing w:after="0" w:line="240" w:lineRule="auto"/>
        <w:ind w:firstLine="360"/>
        <w:jc w:val="both"/>
        <w:rPr>
          <w:rFonts w:asciiTheme="majorHAnsi" w:hAnsiTheme="majorHAnsi"/>
          <w:sz w:val="24"/>
          <w:szCs w:val="24"/>
        </w:rPr>
      </w:pPr>
      <w:r w:rsidRPr="00793447">
        <w:rPr>
          <w:rFonts w:asciiTheme="majorHAnsi" w:hAnsiTheme="majorHAnsi"/>
          <w:sz w:val="24"/>
          <w:szCs w:val="24"/>
        </w:rPr>
        <w:t>Populaţia rezidentă pe sexe şi medii de rezidenţă la 1 ianuarie, se prezintă astfel:</w:t>
      </w:r>
    </w:p>
    <w:p w:rsidR="00457EF0" w:rsidRPr="00793447" w:rsidRDefault="00457EF0" w:rsidP="00457EF0">
      <w:pPr>
        <w:autoSpaceDE w:val="0"/>
        <w:autoSpaceDN w:val="0"/>
        <w:adjustRightInd w:val="0"/>
        <w:spacing w:after="0" w:line="240" w:lineRule="auto"/>
        <w:ind w:right="1468" w:firstLine="360"/>
        <w:jc w:val="right"/>
        <w:rPr>
          <w:rFonts w:asciiTheme="majorHAnsi" w:hAnsiTheme="majorHAnsi"/>
          <w:sz w:val="24"/>
          <w:szCs w:val="24"/>
        </w:rPr>
      </w:pPr>
    </w:p>
    <w:p w:rsidR="00457EF0" w:rsidRPr="00793447" w:rsidRDefault="00457EF0" w:rsidP="00457EF0">
      <w:pPr>
        <w:autoSpaceDE w:val="0"/>
        <w:autoSpaceDN w:val="0"/>
        <w:adjustRightInd w:val="0"/>
        <w:spacing w:after="0" w:line="240" w:lineRule="auto"/>
        <w:ind w:right="1468" w:firstLine="360"/>
        <w:jc w:val="right"/>
        <w:rPr>
          <w:rFonts w:asciiTheme="majorHAnsi" w:hAnsiTheme="majorHAnsi"/>
          <w:sz w:val="24"/>
          <w:szCs w:val="24"/>
          <w:lang w:val="ro-RO"/>
        </w:rPr>
      </w:pPr>
      <w:r w:rsidRPr="00793447">
        <w:rPr>
          <w:rFonts w:asciiTheme="majorHAnsi" w:hAnsiTheme="majorHAnsi"/>
          <w:sz w:val="24"/>
          <w:szCs w:val="24"/>
        </w:rPr>
        <w:t>nu</w:t>
      </w:r>
      <w:r w:rsidRPr="00793447">
        <w:rPr>
          <w:rFonts w:asciiTheme="majorHAnsi" w:hAnsiTheme="majorHAnsi"/>
          <w:sz w:val="24"/>
          <w:szCs w:val="24"/>
          <w:lang w:val="ro-RO"/>
        </w:rPr>
        <w:t>măr persoane</w:t>
      </w:r>
    </w:p>
    <w:tbl>
      <w:tblPr>
        <w:tblW w:w="9346" w:type="dxa"/>
        <w:jc w:val="center"/>
        <w:tblLook w:val="0000" w:firstRow="0" w:lastRow="0" w:firstColumn="0" w:lastColumn="0" w:noHBand="0" w:noVBand="0"/>
      </w:tblPr>
      <w:tblGrid>
        <w:gridCol w:w="3109"/>
        <w:gridCol w:w="1984"/>
        <w:gridCol w:w="1920"/>
        <w:gridCol w:w="2333"/>
      </w:tblGrid>
      <w:tr w:rsidR="00457EF0" w:rsidRPr="00793447" w:rsidTr="00930B66">
        <w:trPr>
          <w:trHeight w:val="255"/>
          <w:jc w:val="center"/>
        </w:trPr>
        <w:tc>
          <w:tcPr>
            <w:tcW w:w="3109" w:type="dxa"/>
            <w:tcBorders>
              <w:top w:val="single" w:sz="8" w:space="0" w:color="auto"/>
              <w:left w:val="single" w:sz="8" w:space="0" w:color="auto"/>
              <w:bottom w:val="nil"/>
              <w:right w:val="nil"/>
            </w:tcBorders>
            <w:shd w:val="clear" w:color="auto" w:fill="auto"/>
            <w:vAlign w:val="bottom"/>
          </w:tcPr>
          <w:p w:rsidR="00457EF0" w:rsidRPr="00793447" w:rsidRDefault="00457EF0" w:rsidP="00457EF0">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Medii de rezidenţă/</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57EF0" w:rsidRPr="00793447" w:rsidRDefault="00457EF0" w:rsidP="00457EF0">
            <w:pPr>
              <w:spacing w:after="0" w:line="240" w:lineRule="auto"/>
              <w:jc w:val="center"/>
              <w:rPr>
                <w:rFonts w:asciiTheme="majorHAnsi" w:hAnsiTheme="majorHAnsi" w:cs="Arial"/>
                <w:b/>
                <w:bCs/>
                <w:sz w:val="24"/>
                <w:szCs w:val="24"/>
              </w:rPr>
            </w:pPr>
            <w:r w:rsidRPr="00793447">
              <w:rPr>
                <w:rFonts w:asciiTheme="majorHAnsi" w:hAnsiTheme="majorHAnsi"/>
                <w:b/>
                <w:sz w:val="24"/>
                <w:szCs w:val="24"/>
              </w:rPr>
              <w:t>1 ianuarie 2022</w:t>
            </w:r>
          </w:p>
        </w:tc>
        <w:tc>
          <w:tcPr>
            <w:tcW w:w="192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57EF0" w:rsidRPr="00793447" w:rsidRDefault="00457EF0" w:rsidP="00457EF0">
            <w:pPr>
              <w:spacing w:after="0" w:line="240" w:lineRule="auto"/>
              <w:jc w:val="center"/>
              <w:rPr>
                <w:rFonts w:asciiTheme="majorHAnsi" w:hAnsiTheme="majorHAnsi" w:cs="Arial"/>
                <w:b/>
                <w:bCs/>
                <w:sz w:val="24"/>
                <w:szCs w:val="24"/>
              </w:rPr>
            </w:pPr>
            <w:r w:rsidRPr="00793447">
              <w:rPr>
                <w:rFonts w:asciiTheme="majorHAnsi" w:hAnsiTheme="majorHAnsi"/>
                <w:b/>
                <w:sz w:val="24"/>
                <w:szCs w:val="24"/>
              </w:rPr>
              <w:t>1 ianuarie 2023</w:t>
            </w:r>
            <w:r w:rsidRPr="00793447">
              <w:rPr>
                <w:rFonts w:asciiTheme="majorHAnsi" w:hAnsiTheme="majorHAnsi" w:cs="Arial"/>
                <w:b/>
                <w:bCs/>
                <w:sz w:val="24"/>
                <w:szCs w:val="24"/>
                <w:vertAlign w:val="superscript"/>
              </w:rPr>
              <w:t>1)</w:t>
            </w:r>
          </w:p>
        </w:tc>
        <w:tc>
          <w:tcPr>
            <w:tcW w:w="2333" w:type="dxa"/>
            <w:tcBorders>
              <w:top w:val="single" w:sz="8" w:space="0" w:color="auto"/>
              <w:left w:val="nil"/>
              <w:bottom w:val="nil"/>
              <w:right w:val="single" w:sz="8" w:space="0" w:color="auto"/>
            </w:tcBorders>
            <w:shd w:val="clear" w:color="auto" w:fill="auto"/>
            <w:noWrap/>
            <w:vAlign w:val="bottom"/>
          </w:tcPr>
          <w:p w:rsidR="00457EF0" w:rsidRPr="00793447" w:rsidRDefault="00457EF0" w:rsidP="00457EF0">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diferenţe +/-</w:t>
            </w:r>
          </w:p>
        </w:tc>
      </w:tr>
      <w:tr w:rsidR="00457EF0" w:rsidRPr="00793447" w:rsidTr="00930B66">
        <w:trPr>
          <w:trHeight w:val="270"/>
          <w:jc w:val="center"/>
        </w:trPr>
        <w:tc>
          <w:tcPr>
            <w:tcW w:w="3109" w:type="dxa"/>
            <w:tcBorders>
              <w:top w:val="nil"/>
              <w:left w:val="single" w:sz="8" w:space="0" w:color="auto"/>
              <w:bottom w:val="single" w:sz="8" w:space="0" w:color="auto"/>
              <w:right w:val="nil"/>
            </w:tcBorders>
            <w:shd w:val="clear" w:color="auto" w:fill="auto"/>
            <w:vAlign w:val="bottom"/>
          </w:tcPr>
          <w:p w:rsidR="00457EF0" w:rsidRPr="00793447" w:rsidRDefault="00457EF0" w:rsidP="00457EF0">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Sexe</w:t>
            </w:r>
          </w:p>
        </w:tc>
        <w:tc>
          <w:tcPr>
            <w:tcW w:w="1984" w:type="dxa"/>
            <w:vMerge/>
            <w:tcBorders>
              <w:top w:val="single" w:sz="8" w:space="0" w:color="auto"/>
              <w:left w:val="single" w:sz="8" w:space="0" w:color="auto"/>
              <w:bottom w:val="single" w:sz="8" w:space="0" w:color="000000"/>
              <w:right w:val="single" w:sz="8" w:space="0" w:color="auto"/>
            </w:tcBorders>
            <w:vAlign w:val="center"/>
          </w:tcPr>
          <w:p w:rsidR="00457EF0" w:rsidRPr="00793447" w:rsidRDefault="00457EF0" w:rsidP="00457EF0">
            <w:pPr>
              <w:spacing w:after="0" w:line="240" w:lineRule="auto"/>
              <w:jc w:val="center"/>
              <w:rPr>
                <w:rFonts w:asciiTheme="majorHAnsi" w:hAnsiTheme="majorHAnsi" w:cs="Arial"/>
                <w:b/>
                <w:bCs/>
                <w:sz w:val="24"/>
                <w:szCs w:val="24"/>
              </w:rPr>
            </w:pPr>
          </w:p>
        </w:tc>
        <w:tc>
          <w:tcPr>
            <w:tcW w:w="1920" w:type="dxa"/>
            <w:vMerge/>
            <w:tcBorders>
              <w:top w:val="single" w:sz="8" w:space="0" w:color="auto"/>
              <w:left w:val="single" w:sz="8" w:space="0" w:color="auto"/>
              <w:bottom w:val="single" w:sz="8" w:space="0" w:color="000000"/>
              <w:right w:val="single" w:sz="8" w:space="0" w:color="auto"/>
            </w:tcBorders>
            <w:vAlign w:val="center"/>
          </w:tcPr>
          <w:p w:rsidR="00457EF0" w:rsidRPr="00793447" w:rsidRDefault="00457EF0" w:rsidP="00457EF0">
            <w:pPr>
              <w:spacing w:after="0" w:line="240" w:lineRule="auto"/>
              <w:jc w:val="center"/>
              <w:rPr>
                <w:rFonts w:asciiTheme="majorHAnsi" w:hAnsiTheme="majorHAnsi" w:cs="Arial"/>
                <w:b/>
                <w:bCs/>
                <w:sz w:val="24"/>
                <w:szCs w:val="24"/>
              </w:rPr>
            </w:pPr>
          </w:p>
        </w:tc>
        <w:tc>
          <w:tcPr>
            <w:tcW w:w="2333" w:type="dxa"/>
            <w:tcBorders>
              <w:top w:val="nil"/>
              <w:left w:val="nil"/>
              <w:bottom w:val="single" w:sz="8" w:space="0" w:color="auto"/>
              <w:right w:val="single" w:sz="8" w:space="0" w:color="auto"/>
            </w:tcBorders>
            <w:shd w:val="clear" w:color="auto" w:fill="auto"/>
            <w:noWrap/>
            <w:vAlign w:val="bottom"/>
          </w:tcPr>
          <w:p w:rsidR="00457EF0" w:rsidRPr="00793447" w:rsidRDefault="00457EF0" w:rsidP="00457EF0">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2023-2022</w:t>
            </w:r>
          </w:p>
        </w:tc>
      </w:tr>
      <w:tr w:rsidR="00457EF0" w:rsidRPr="00793447" w:rsidTr="00930B66">
        <w:trPr>
          <w:trHeight w:val="255"/>
          <w:jc w:val="center"/>
        </w:trPr>
        <w:tc>
          <w:tcPr>
            <w:tcW w:w="3109" w:type="dxa"/>
            <w:tcBorders>
              <w:top w:val="nil"/>
              <w:left w:val="single" w:sz="8" w:space="0" w:color="auto"/>
              <w:bottom w:val="nil"/>
              <w:right w:val="nil"/>
            </w:tcBorders>
            <w:shd w:val="clear" w:color="auto" w:fill="auto"/>
            <w:vAlign w:val="bottom"/>
          </w:tcPr>
          <w:p w:rsidR="00457EF0" w:rsidRPr="00793447" w:rsidRDefault="00457EF0" w:rsidP="00457EF0">
            <w:pPr>
              <w:spacing w:after="0" w:line="240" w:lineRule="auto"/>
              <w:rPr>
                <w:rFonts w:asciiTheme="majorHAnsi" w:hAnsiTheme="majorHAnsi" w:cs="Arial"/>
                <w:b/>
                <w:bCs/>
                <w:sz w:val="24"/>
                <w:szCs w:val="24"/>
              </w:rPr>
            </w:pPr>
            <w:r w:rsidRPr="00793447">
              <w:rPr>
                <w:rFonts w:asciiTheme="majorHAnsi" w:hAnsiTheme="majorHAnsi" w:cs="Arial"/>
                <w:b/>
                <w:bCs/>
                <w:sz w:val="24"/>
                <w:szCs w:val="24"/>
                <w:lang w:val="ro-RO"/>
              </w:rPr>
              <w:t xml:space="preserve">Populaţia rezidentă </w:t>
            </w:r>
          </w:p>
        </w:tc>
        <w:tc>
          <w:tcPr>
            <w:tcW w:w="1984" w:type="dxa"/>
            <w:tcBorders>
              <w:top w:val="nil"/>
              <w:left w:val="single" w:sz="8" w:space="0" w:color="auto"/>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694490</w:t>
            </w:r>
          </w:p>
        </w:tc>
        <w:tc>
          <w:tcPr>
            <w:tcW w:w="1920" w:type="dxa"/>
            <w:tcBorders>
              <w:top w:val="nil"/>
              <w:left w:val="nil"/>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686034</w:t>
            </w:r>
          </w:p>
        </w:tc>
        <w:tc>
          <w:tcPr>
            <w:tcW w:w="2333" w:type="dxa"/>
            <w:tcBorders>
              <w:top w:val="nil"/>
              <w:left w:val="nil"/>
              <w:bottom w:val="nil"/>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-8456</w:t>
            </w:r>
          </w:p>
        </w:tc>
      </w:tr>
      <w:tr w:rsidR="00457EF0" w:rsidRPr="00793447" w:rsidTr="00930B66">
        <w:trPr>
          <w:trHeight w:val="255"/>
          <w:jc w:val="center"/>
        </w:trPr>
        <w:tc>
          <w:tcPr>
            <w:tcW w:w="3109" w:type="dxa"/>
            <w:tcBorders>
              <w:top w:val="nil"/>
              <w:left w:val="single" w:sz="8" w:space="0" w:color="auto"/>
              <w:bottom w:val="nil"/>
              <w:right w:val="nil"/>
            </w:tcBorders>
            <w:shd w:val="clear" w:color="auto" w:fill="auto"/>
            <w:vAlign w:val="bottom"/>
          </w:tcPr>
          <w:p w:rsidR="00457EF0" w:rsidRPr="00793447" w:rsidRDefault="00457EF0" w:rsidP="00457EF0">
            <w:pPr>
              <w:spacing w:after="0" w:line="240" w:lineRule="auto"/>
              <w:rPr>
                <w:rFonts w:asciiTheme="majorHAnsi" w:hAnsiTheme="majorHAnsi" w:cs="Arial"/>
                <w:b/>
                <w:bCs/>
                <w:sz w:val="24"/>
                <w:szCs w:val="24"/>
              </w:rPr>
            </w:pPr>
            <w:r w:rsidRPr="00793447">
              <w:rPr>
                <w:rFonts w:asciiTheme="majorHAnsi" w:hAnsiTheme="majorHAnsi" w:cs="Arial"/>
                <w:b/>
                <w:bCs/>
                <w:sz w:val="24"/>
                <w:szCs w:val="24"/>
                <w:lang w:val="ro-RO"/>
              </w:rPr>
              <w:t>din care:</w:t>
            </w:r>
            <w:r w:rsidRPr="00793447">
              <w:rPr>
                <w:rFonts w:asciiTheme="majorHAnsi" w:hAnsiTheme="majorHAnsi" w:cs="Arial"/>
                <w:i/>
                <w:iCs/>
                <w:sz w:val="24"/>
                <w:szCs w:val="24"/>
                <w:lang w:val="ro-RO"/>
              </w:rPr>
              <w:t xml:space="preserve"> masculin</w:t>
            </w:r>
          </w:p>
        </w:tc>
        <w:tc>
          <w:tcPr>
            <w:tcW w:w="1984" w:type="dxa"/>
            <w:tcBorders>
              <w:top w:val="nil"/>
              <w:left w:val="single" w:sz="8" w:space="0" w:color="auto"/>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334651</w:t>
            </w:r>
          </w:p>
        </w:tc>
        <w:tc>
          <w:tcPr>
            <w:tcW w:w="1920" w:type="dxa"/>
            <w:tcBorders>
              <w:top w:val="nil"/>
              <w:left w:val="nil"/>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330547</w:t>
            </w:r>
          </w:p>
        </w:tc>
        <w:tc>
          <w:tcPr>
            <w:tcW w:w="2333" w:type="dxa"/>
            <w:tcBorders>
              <w:top w:val="nil"/>
              <w:left w:val="nil"/>
              <w:bottom w:val="nil"/>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-4104</w:t>
            </w:r>
          </w:p>
        </w:tc>
      </w:tr>
      <w:tr w:rsidR="00457EF0" w:rsidRPr="00793447" w:rsidTr="00930B66">
        <w:trPr>
          <w:trHeight w:val="270"/>
          <w:jc w:val="center"/>
        </w:trPr>
        <w:tc>
          <w:tcPr>
            <w:tcW w:w="3109" w:type="dxa"/>
            <w:tcBorders>
              <w:top w:val="nil"/>
              <w:left w:val="single" w:sz="8" w:space="0" w:color="auto"/>
              <w:bottom w:val="single" w:sz="8" w:space="0" w:color="auto"/>
              <w:right w:val="nil"/>
            </w:tcBorders>
            <w:shd w:val="clear" w:color="auto" w:fill="auto"/>
            <w:vAlign w:val="bottom"/>
          </w:tcPr>
          <w:p w:rsidR="00457EF0" w:rsidRPr="00793447" w:rsidRDefault="00457EF0" w:rsidP="00457EF0">
            <w:pPr>
              <w:spacing w:after="0" w:line="240" w:lineRule="auto"/>
              <w:ind w:firstLineChars="400" w:firstLine="960"/>
              <w:rPr>
                <w:rFonts w:asciiTheme="majorHAnsi" w:hAnsiTheme="majorHAnsi" w:cs="Arial"/>
                <w:i/>
                <w:iCs/>
                <w:sz w:val="24"/>
                <w:szCs w:val="24"/>
              </w:rPr>
            </w:pPr>
            <w:r w:rsidRPr="00793447">
              <w:rPr>
                <w:rFonts w:asciiTheme="majorHAnsi" w:hAnsiTheme="majorHAnsi" w:cs="Arial"/>
                <w:i/>
                <w:iCs/>
                <w:sz w:val="24"/>
                <w:szCs w:val="24"/>
                <w:lang w:val="ro-RO"/>
              </w:rPr>
              <w:t xml:space="preserve">   feminin</w:t>
            </w:r>
          </w:p>
        </w:tc>
        <w:tc>
          <w:tcPr>
            <w:tcW w:w="1984" w:type="dxa"/>
            <w:tcBorders>
              <w:top w:val="nil"/>
              <w:left w:val="single" w:sz="8" w:space="0" w:color="auto"/>
              <w:bottom w:val="single" w:sz="8" w:space="0" w:color="auto"/>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359839</w:t>
            </w:r>
          </w:p>
        </w:tc>
        <w:tc>
          <w:tcPr>
            <w:tcW w:w="1920" w:type="dxa"/>
            <w:tcBorders>
              <w:top w:val="nil"/>
              <w:left w:val="nil"/>
              <w:bottom w:val="single" w:sz="8" w:space="0" w:color="auto"/>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355487</w:t>
            </w:r>
          </w:p>
        </w:tc>
        <w:tc>
          <w:tcPr>
            <w:tcW w:w="2333" w:type="dxa"/>
            <w:tcBorders>
              <w:top w:val="nil"/>
              <w:left w:val="nil"/>
              <w:bottom w:val="single" w:sz="8" w:space="0" w:color="auto"/>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-4352</w:t>
            </w:r>
          </w:p>
        </w:tc>
      </w:tr>
      <w:tr w:rsidR="00457EF0" w:rsidRPr="00793447" w:rsidTr="00930B66">
        <w:trPr>
          <w:trHeight w:val="255"/>
          <w:jc w:val="center"/>
        </w:trPr>
        <w:tc>
          <w:tcPr>
            <w:tcW w:w="3109" w:type="dxa"/>
            <w:tcBorders>
              <w:top w:val="nil"/>
              <w:left w:val="single" w:sz="8" w:space="0" w:color="auto"/>
              <w:bottom w:val="nil"/>
              <w:right w:val="nil"/>
            </w:tcBorders>
            <w:shd w:val="clear" w:color="auto" w:fill="auto"/>
            <w:vAlign w:val="bottom"/>
          </w:tcPr>
          <w:p w:rsidR="00457EF0" w:rsidRPr="00793447" w:rsidRDefault="00457EF0" w:rsidP="00457EF0">
            <w:pPr>
              <w:spacing w:after="0" w:line="240" w:lineRule="auto"/>
              <w:rPr>
                <w:rFonts w:asciiTheme="majorHAnsi" w:hAnsiTheme="majorHAnsi" w:cs="Arial"/>
                <w:b/>
                <w:bCs/>
                <w:sz w:val="24"/>
                <w:szCs w:val="24"/>
              </w:rPr>
            </w:pPr>
            <w:r w:rsidRPr="00793447">
              <w:rPr>
                <w:rFonts w:asciiTheme="majorHAnsi" w:hAnsiTheme="majorHAnsi" w:cs="Arial"/>
                <w:b/>
                <w:bCs/>
                <w:sz w:val="24"/>
                <w:szCs w:val="24"/>
                <w:lang w:val="ro-RO"/>
              </w:rPr>
              <w:t>Mediul Urban</w:t>
            </w:r>
          </w:p>
        </w:tc>
        <w:tc>
          <w:tcPr>
            <w:tcW w:w="1984" w:type="dxa"/>
            <w:tcBorders>
              <w:top w:val="nil"/>
              <w:left w:val="single" w:sz="8" w:space="0" w:color="auto"/>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330708</w:t>
            </w:r>
          </w:p>
        </w:tc>
        <w:tc>
          <w:tcPr>
            <w:tcW w:w="1920" w:type="dxa"/>
            <w:tcBorders>
              <w:top w:val="nil"/>
              <w:left w:val="nil"/>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324631</w:t>
            </w:r>
          </w:p>
        </w:tc>
        <w:tc>
          <w:tcPr>
            <w:tcW w:w="2333" w:type="dxa"/>
            <w:tcBorders>
              <w:top w:val="nil"/>
              <w:left w:val="nil"/>
              <w:bottom w:val="nil"/>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-6077</w:t>
            </w:r>
          </w:p>
        </w:tc>
      </w:tr>
      <w:tr w:rsidR="00457EF0" w:rsidRPr="00793447" w:rsidTr="00930B66">
        <w:trPr>
          <w:trHeight w:val="255"/>
          <w:jc w:val="center"/>
        </w:trPr>
        <w:tc>
          <w:tcPr>
            <w:tcW w:w="3109" w:type="dxa"/>
            <w:tcBorders>
              <w:top w:val="nil"/>
              <w:left w:val="single" w:sz="8" w:space="0" w:color="auto"/>
              <w:bottom w:val="nil"/>
              <w:right w:val="nil"/>
            </w:tcBorders>
            <w:shd w:val="clear" w:color="auto" w:fill="auto"/>
            <w:vAlign w:val="bottom"/>
          </w:tcPr>
          <w:p w:rsidR="00457EF0" w:rsidRPr="00793447" w:rsidRDefault="00457EF0" w:rsidP="00457EF0">
            <w:pPr>
              <w:spacing w:after="0" w:line="240" w:lineRule="auto"/>
              <w:rPr>
                <w:rFonts w:asciiTheme="majorHAnsi" w:hAnsiTheme="majorHAnsi" w:cs="Arial"/>
                <w:b/>
                <w:bCs/>
                <w:sz w:val="24"/>
                <w:szCs w:val="24"/>
              </w:rPr>
            </w:pPr>
            <w:r w:rsidRPr="00793447">
              <w:rPr>
                <w:rFonts w:asciiTheme="majorHAnsi" w:hAnsiTheme="majorHAnsi" w:cs="Arial"/>
                <w:b/>
                <w:bCs/>
                <w:sz w:val="24"/>
                <w:szCs w:val="24"/>
                <w:lang w:val="ro-RO"/>
              </w:rPr>
              <w:t>din care:</w:t>
            </w:r>
            <w:r w:rsidRPr="00793447">
              <w:rPr>
                <w:rFonts w:asciiTheme="majorHAnsi" w:hAnsiTheme="majorHAnsi" w:cs="Arial"/>
                <w:i/>
                <w:iCs/>
                <w:sz w:val="24"/>
                <w:szCs w:val="24"/>
                <w:lang w:val="ro-RO"/>
              </w:rPr>
              <w:t xml:space="preserve"> masculin</w:t>
            </w:r>
          </w:p>
        </w:tc>
        <w:tc>
          <w:tcPr>
            <w:tcW w:w="1984" w:type="dxa"/>
            <w:tcBorders>
              <w:top w:val="nil"/>
              <w:left w:val="single" w:sz="8" w:space="0" w:color="auto"/>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154709</w:t>
            </w:r>
          </w:p>
        </w:tc>
        <w:tc>
          <w:tcPr>
            <w:tcW w:w="1920" w:type="dxa"/>
            <w:tcBorders>
              <w:top w:val="nil"/>
              <w:left w:val="nil"/>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151273</w:t>
            </w:r>
          </w:p>
        </w:tc>
        <w:tc>
          <w:tcPr>
            <w:tcW w:w="2333" w:type="dxa"/>
            <w:tcBorders>
              <w:top w:val="nil"/>
              <w:left w:val="nil"/>
              <w:bottom w:val="nil"/>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-3436</w:t>
            </w:r>
          </w:p>
        </w:tc>
      </w:tr>
      <w:tr w:rsidR="00457EF0" w:rsidRPr="00793447" w:rsidTr="00930B66">
        <w:trPr>
          <w:trHeight w:val="270"/>
          <w:jc w:val="center"/>
        </w:trPr>
        <w:tc>
          <w:tcPr>
            <w:tcW w:w="3109" w:type="dxa"/>
            <w:tcBorders>
              <w:top w:val="nil"/>
              <w:left w:val="single" w:sz="8" w:space="0" w:color="auto"/>
              <w:bottom w:val="single" w:sz="8" w:space="0" w:color="auto"/>
              <w:right w:val="nil"/>
            </w:tcBorders>
            <w:shd w:val="clear" w:color="auto" w:fill="auto"/>
            <w:vAlign w:val="bottom"/>
          </w:tcPr>
          <w:p w:rsidR="00457EF0" w:rsidRPr="00793447" w:rsidRDefault="00457EF0" w:rsidP="00457EF0">
            <w:pPr>
              <w:spacing w:after="0" w:line="240" w:lineRule="auto"/>
              <w:ind w:firstLineChars="400" w:firstLine="960"/>
              <w:rPr>
                <w:rFonts w:asciiTheme="majorHAnsi" w:hAnsiTheme="majorHAnsi" w:cs="Arial"/>
                <w:i/>
                <w:iCs/>
                <w:sz w:val="24"/>
                <w:szCs w:val="24"/>
              </w:rPr>
            </w:pPr>
            <w:r w:rsidRPr="00793447">
              <w:rPr>
                <w:rFonts w:asciiTheme="majorHAnsi" w:hAnsiTheme="majorHAnsi" w:cs="Arial"/>
                <w:i/>
                <w:iCs/>
                <w:sz w:val="24"/>
                <w:szCs w:val="24"/>
                <w:lang w:val="ro-RO"/>
              </w:rPr>
              <w:t xml:space="preserve">   feminin</w:t>
            </w:r>
          </w:p>
        </w:tc>
        <w:tc>
          <w:tcPr>
            <w:tcW w:w="1984" w:type="dxa"/>
            <w:tcBorders>
              <w:top w:val="nil"/>
              <w:left w:val="single" w:sz="8" w:space="0" w:color="auto"/>
              <w:bottom w:val="single" w:sz="8" w:space="0" w:color="auto"/>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175999</w:t>
            </w:r>
          </w:p>
        </w:tc>
        <w:tc>
          <w:tcPr>
            <w:tcW w:w="1920" w:type="dxa"/>
            <w:tcBorders>
              <w:top w:val="nil"/>
              <w:left w:val="nil"/>
              <w:bottom w:val="single" w:sz="8" w:space="0" w:color="auto"/>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173358</w:t>
            </w:r>
          </w:p>
        </w:tc>
        <w:tc>
          <w:tcPr>
            <w:tcW w:w="2333" w:type="dxa"/>
            <w:tcBorders>
              <w:top w:val="nil"/>
              <w:left w:val="nil"/>
              <w:bottom w:val="single" w:sz="8" w:space="0" w:color="auto"/>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-2641</w:t>
            </w:r>
          </w:p>
        </w:tc>
      </w:tr>
      <w:tr w:rsidR="00457EF0" w:rsidRPr="00793447" w:rsidTr="00930B66">
        <w:trPr>
          <w:trHeight w:val="255"/>
          <w:jc w:val="center"/>
        </w:trPr>
        <w:tc>
          <w:tcPr>
            <w:tcW w:w="3109" w:type="dxa"/>
            <w:tcBorders>
              <w:top w:val="nil"/>
              <w:left w:val="single" w:sz="8" w:space="0" w:color="auto"/>
              <w:bottom w:val="nil"/>
              <w:right w:val="nil"/>
            </w:tcBorders>
            <w:shd w:val="clear" w:color="auto" w:fill="auto"/>
            <w:vAlign w:val="bottom"/>
          </w:tcPr>
          <w:p w:rsidR="00457EF0" w:rsidRPr="00793447" w:rsidRDefault="00457EF0" w:rsidP="00457EF0">
            <w:pPr>
              <w:spacing w:after="0" w:line="240" w:lineRule="auto"/>
              <w:rPr>
                <w:rFonts w:asciiTheme="majorHAnsi" w:hAnsiTheme="majorHAnsi" w:cs="Arial"/>
                <w:b/>
                <w:bCs/>
                <w:sz w:val="24"/>
                <w:szCs w:val="24"/>
              </w:rPr>
            </w:pPr>
            <w:r w:rsidRPr="00793447">
              <w:rPr>
                <w:rFonts w:asciiTheme="majorHAnsi" w:hAnsiTheme="majorHAnsi" w:cs="Arial"/>
                <w:b/>
                <w:bCs/>
                <w:sz w:val="24"/>
                <w:szCs w:val="24"/>
                <w:lang w:val="ro-RO"/>
              </w:rPr>
              <w:t>Mediul Rural</w:t>
            </w:r>
          </w:p>
        </w:tc>
        <w:tc>
          <w:tcPr>
            <w:tcW w:w="1984" w:type="dxa"/>
            <w:tcBorders>
              <w:top w:val="nil"/>
              <w:left w:val="single" w:sz="8" w:space="0" w:color="auto"/>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363782</w:t>
            </w:r>
          </w:p>
        </w:tc>
        <w:tc>
          <w:tcPr>
            <w:tcW w:w="1920" w:type="dxa"/>
            <w:tcBorders>
              <w:top w:val="nil"/>
              <w:left w:val="nil"/>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361403</w:t>
            </w:r>
          </w:p>
        </w:tc>
        <w:tc>
          <w:tcPr>
            <w:tcW w:w="2333" w:type="dxa"/>
            <w:tcBorders>
              <w:top w:val="nil"/>
              <w:left w:val="nil"/>
              <w:bottom w:val="nil"/>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b/>
                <w:sz w:val="24"/>
                <w:szCs w:val="24"/>
              </w:rPr>
            </w:pPr>
            <w:r w:rsidRPr="00793447">
              <w:rPr>
                <w:rFonts w:asciiTheme="majorHAnsi" w:hAnsiTheme="majorHAnsi"/>
                <w:b/>
                <w:sz w:val="24"/>
                <w:szCs w:val="24"/>
              </w:rPr>
              <w:t>-2379</w:t>
            </w:r>
          </w:p>
        </w:tc>
      </w:tr>
      <w:tr w:rsidR="00457EF0" w:rsidRPr="00793447" w:rsidTr="00930B66">
        <w:trPr>
          <w:trHeight w:val="255"/>
          <w:jc w:val="center"/>
        </w:trPr>
        <w:tc>
          <w:tcPr>
            <w:tcW w:w="3109" w:type="dxa"/>
            <w:tcBorders>
              <w:top w:val="nil"/>
              <w:left w:val="single" w:sz="8" w:space="0" w:color="auto"/>
              <w:bottom w:val="nil"/>
              <w:right w:val="nil"/>
            </w:tcBorders>
            <w:shd w:val="clear" w:color="auto" w:fill="auto"/>
            <w:vAlign w:val="bottom"/>
          </w:tcPr>
          <w:p w:rsidR="00457EF0" w:rsidRPr="00793447" w:rsidRDefault="00457EF0" w:rsidP="00457EF0">
            <w:pPr>
              <w:spacing w:after="0" w:line="240" w:lineRule="auto"/>
              <w:rPr>
                <w:rFonts w:asciiTheme="majorHAnsi" w:hAnsiTheme="majorHAnsi" w:cs="Arial"/>
                <w:b/>
                <w:bCs/>
                <w:sz w:val="24"/>
                <w:szCs w:val="24"/>
              </w:rPr>
            </w:pPr>
            <w:r w:rsidRPr="00793447">
              <w:rPr>
                <w:rFonts w:asciiTheme="majorHAnsi" w:hAnsiTheme="majorHAnsi" w:cs="Arial"/>
                <w:b/>
                <w:bCs/>
                <w:sz w:val="24"/>
                <w:szCs w:val="24"/>
                <w:lang w:val="ro-RO"/>
              </w:rPr>
              <w:t>din care:</w:t>
            </w:r>
            <w:r w:rsidRPr="00793447">
              <w:rPr>
                <w:rFonts w:asciiTheme="majorHAnsi" w:hAnsiTheme="majorHAnsi" w:cs="Arial"/>
                <w:i/>
                <w:iCs/>
                <w:sz w:val="24"/>
                <w:szCs w:val="24"/>
                <w:lang w:val="ro-RO"/>
              </w:rPr>
              <w:t xml:space="preserve"> masculin</w:t>
            </w:r>
          </w:p>
        </w:tc>
        <w:tc>
          <w:tcPr>
            <w:tcW w:w="1984" w:type="dxa"/>
            <w:tcBorders>
              <w:top w:val="nil"/>
              <w:left w:val="single" w:sz="8" w:space="0" w:color="auto"/>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179942</w:t>
            </w:r>
          </w:p>
        </w:tc>
        <w:tc>
          <w:tcPr>
            <w:tcW w:w="1920" w:type="dxa"/>
            <w:tcBorders>
              <w:top w:val="nil"/>
              <w:left w:val="nil"/>
              <w:bottom w:val="nil"/>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179274</w:t>
            </w:r>
          </w:p>
        </w:tc>
        <w:tc>
          <w:tcPr>
            <w:tcW w:w="2333" w:type="dxa"/>
            <w:tcBorders>
              <w:top w:val="nil"/>
              <w:left w:val="nil"/>
              <w:bottom w:val="nil"/>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-668</w:t>
            </w:r>
          </w:p>
        </w:tc>
      </w:tr>
      <w:tr w:rsidR="00457EF0" w:rsidRPr="00793447" w:rsidTr="00930B66">
        <w:trPr>
          <w:trHeight w:val="270"/>
          <w:jc w:val="center"/>
        </w:trPr>
        <w:tc>
          <w:tcPr>
            <w:tcW w:w="3109" w:type="dxa"/>
            <w:tcBorders>
              <w:top w:val="nil"/>
              <w:left w:val="single" w:sz="8" w:space="0" w:color="auto"/>
              <w:bottom w:val="single" w:sz="8" w:space="0" w:color="auto"/>
              <w:right w:val="nil"/>
            </w:tcBorders>
            <w:shd w:val="clear" w:color="auto" w:fill="auto"/>
            <w:vAlign w:val="bottom"/>
          </w:tcPr>
          <w:p w:rsidR="00457EF0" w:rsidRPr="00793447" w:rsidRDefault="00457EF0" w:rsidP="00457EF0">
            <w:pPr>
              <w:spacing w:after="0" w:line="240" w:lineRule="auto"/>
              <w:ind w:firstLineChars="400" w:firstLine="960"/>
              <w:rPr>
                <w:rFonts w:asciiTheme="majorHAnsi" w:hAnsiTheme="majorHAnsi" w:cs="Arial"/>
                <w:i/>
                <w:iCs/>
                <w:sz w:val="24"/>
                <w:szCs w:val="24"/>
              </w:rPr>
            </w:pPr>
            <w:r w:rsidRPr="00793447">
              <w:rPr>
                <w:rFonts w:asciiTheme="majorHAnsi" w:hAnsiTheme="majorHAnsi" w:cs="Arial"/>
                <w:i/>
                <w:iCs/>
                <w:sz w:val="24"/>
                <w:szCs w:val="24"/>
                <w:lang w:val="ro-RO"/>
              </w:rPr>
              <w:t xml:space="preserve">   feminin</w:t>
            </w:r>
          </w:p>
        </w:tc>
        <w:tc>
          <w:tcPr>
            <w:tcW w:w="1984" w:type="dxa"/>
            <w:tcBorders>
              <w:top w:val="nil"/>
              <w:left w:val="single" w:sz="8" w:space="0" w:color="auto"/>
              <w:bottom w:val="single" w:sz="8" w:space="0" w:color="auto"/>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183840</w:t>
            </w:r>
          </w:p>
        </w:tc>
        <w:tc>
          <w:tcPr>
            <w:tcW w:w="1920" w:type="dxa"/>
            <w:tcBorders>
              <w:top w:val="nil"/>
              <w:left w:val="nil"/>
              <w:bottom w:val="single" w:sz="8" w:space="0" w:color="auto"/>
              <w:right w:val="single" w:sz="8" w:space="0" w:color="auto"/>
            </w:tcBorders>
            <w:shd w:val="clear" w:color="auto" w:fill="auto"/>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182129</w:t>
            </w:r>
          </w:p>
        </w:tc>
        <w:tc>
          <w:tcPr>
            <w:tcW w:w="2333" w:type="dxa"/>
            <w:tcBorders>
              <w:top w:val="nil"/>
              <w:left w:val="nil"/>
              <w:bottom w:val="single" w:sz="8" w:space="0" w:color="auto"/>
              <w:right w:val="single" w:sz="8" w:space="0" w:color="auto"/>
            </w:tcBorders>
            <w:shd w:val="clear" w:color="auto" w:fill="auto"/>
            <w:noWrap/>
          </w:tcPr>
          <w:p w:rsidR="00457EF0" w:rsidRPr="00793447" w:rsidRDefault="00457EF0" w:rsidP="00457EF0">
            <w:pPr>
              <w:spacing w:after="0" w:line="240" w:lineRule="auto"/>
              <w:jc w:val="center"/>
              <w:rPr>
                <w:rFonts w:asciiTheme="majorHAnsi" w:hAnsiTheme="majorHAnsi"/>
                <w:sz w:val="24"/>
                <w:szCs w:val="24"/>
              </w:rPr>
            </w:pPr>
            <w:r w:rsidRPr="00793447">
              <w:rPr>
                <w:rFonts w:asciiTheme="majorHAnsi" w:hAnsiTheme="majorHAnsi"/>
                <w:sz w:val="24"/>
                <w:szCs w:val="24"/>
              </w:rPr>
              <w:t>-1711</w:t>
            </w:r>
          </w:p>
        </w:tc>
      </w:tr>
    </w:tbl>
    <w:p w:rsidR="00457EF0" w:rsidRPr="00793447" w:rsidRDefault="00457EF0" w:rsidP="00457EF0">
      <w:pPr>
        <w:autoSpaceDE w:val="0"/>
        <w:autoSpaceDN w:val="0"/>
        <w:adjustRightInd w:val="0"/>
        <w:spacing w:after="0" w:line="240" w:lineRule="auto"/>
        <w:ind w:left="360" w:right="1468" w:firstLine="720"/>
        <w:rPr>
          <w:rFonts w:asciiTheme="majorHAnsi" w:hAnsiTheme="majorHAnsi"/>
          <w:sz w:val="24"/>
          <w:szCs w:val="24"/>
          <w:lang w:val="ro-RO"/>
        </w:rPr>
      </w:pPr>
      <w:r w:rsidRPr="00793447">
        <w:rPr>
          <w:rFonts w:asciiTheme="majorHAnsi" w:hAnsiTheme="majorHAnsi" w:cs="Arial"/>
          <w:bCs/>
          <w:sz w:val="24"/>
          <w:szCs w:val="24"/>
          <w:vertAlign w:val="superscript"/>
        </w:rPr>
        <w:t>1)</w:t>
      </w:r>
      <w:r w:rsidRPr="00793447">
        <w:rPr>
          <w:rFonts w:asciiTheme="majorHAnsi" w:hAnsiTheme="majorHAnsi" w:cs="Arial"/>
          <w:bCs/>
          <w:sz w:val="24"/>
          <w:szCs w:val="24"/>
        </w:rPr>
        <w:t xml:space="preserve">  Date provizorii</w:t>
      </w:r>
    </w:p>
    <w:p w:rsidR="00457EF0" w:rsidRPr="00793447" w:rsidRDefault="00457EF0" w:rsidP="00457EF0">
      <w:pPr>
        <w:autoSpaceDE w:val="0"/>
        <w:autoSpaceDN w:val="0"/>
        <w:adjustRightInd w:val="0"/>
        <w:spacing w:after="0" w:line="240" w:lineRule="auto"/>
        <w:ind w:right="1468" w:firstLine="360"/>
        <w:jc w:val="right"/>
        <w:rPr>
          <w:rFonts w:asciiTheme="majorHAnsi" w:hAnsiTheme="majorHAnsi"/>
          <w:sz w:val="24"/>
          <w:szCs w:val="24"/>
          <w:lang w:val="ro-RO"/>
        </w:rPr>
      </w:pPr>
    </w:p>
    <w:p w:rsidR="00457EF0" w:rsidRPr="00793447" w:rsidRDefault="00457EF0" w:rsidP="00457EF0">
      <w:pPr>
        <w:autoSpaceDE w:val="0"/>
        <w:autoSpaceDN w:val="0"/>
        <w:adjustRightInd w:val="0"/>
        <w:spacing w:after="0" w:line="240" w:lineRule="auto"/>
        <w:ind w:firstLine="272"/>
        <w:jc w:val="both"/>
        <w:rPr>
          <w:rFonts w:asciiTheme="majorHAnsi" w:hAnsiTheme="majorHAnsi"/>
          <w:sz w:val="24"/>
          <w:szCs w:val="24"/>
          <w:lang w:val="fr-FR"/>
        </w:rPr>
      </w:pPr>
      <w:r w:rsidRPr="00793447">
        <w:rPr>
          <w:rFonts w:asciiTheme="majorHAnsi" w:hAnsiTheme="majorHAnsi"/>
          <w:sz w:val="24"/>
          <w:szCs w:val="24"/>
          <w:lang w:val="fr-FR"/>
        </w:rPr>
        <w:t xml:space="preserve">La 1 ianuarie 2023, 52,7% din populaţia judeţului locuia în mediul rural. </w:t>
      </w:r>
    </w:p>
    <w:p w:rsidR="00457EF0" w:rsidRDefault="00457EF0" w:rsidP="00457EF0">
      <w:pPr>
        <w:autoSpaceDE w:val="0"/>
        <w:autoSpaceDN w:val="0"/>
        <w:adjustRightInd w:val="0"/>
        <w:spacing w:after="0" w:line="240" w:lineRule="auto"/>
        <w:ind w:firstLine="720"/>
        <w:jc w:val="both"/>
        <w:rPr>
          <w:rFonts w:asciiTheme="majorHAnsi" w:hAnsiTheme="majorHAnsi" w:cs="Arial"/>
          <w:b/>
          <w:sz w:val="24"/>
          <w:szCs w:val="24"/>
          <w:lang w:val="fr-FR"/>
        </w:rPr>
      </w:pPr>
    </w:p>
    <w:p w:rsidR="00930B66" w:rsidRPr="00793447" w:rsidRDefault="00930B66" w:rsidP="00930B66">
      <w:pPr>
        <w:autoSpaceDE w:val="0"/>
        <w:autoSpaceDN w:val="0"/>
        <w:adjustRightInd w:val="0"/>
        <w:spacing w:after="0" w:line="240" w:lineRule="auto"/>
        <w:jc w:val="center"/>
        <w:rPr>
          <w:rFonts w:asciiTheme="majorHAnsi" w:hAnsiTheme="majorHAnsi"/>
          <w:sz w:val="24"/>
          <w:szCs w:val="24"/>
          <w:lang w:val="ro-RO"/>
        </w:rPr>
      </w:pPr>
      <w:r w:rsidRPr="00793447">
        <w:rPr>
          <w:rFonts w:asciiTheme="majorHAnsi" w:eastAsia="Calibri" w:hAnsiTheme="majorHAnsi"/>
          <w:b/>
          <w:noProof/>
          <w:sz w:val="24"/>
          <w:szCs w:val="24"/>
        </w:rPr>
        <w:drawing>
          <wp:anchor distT="0" distB="0" distL="114300" distR="114300" simplePos="0" relativeHeight="251696128" behindDoc="0" locked="0" layoutInCell="1" allowOverlap="1" wp14:anchorId="65DC843F" wp14:editId="57CA42D8">
            <wp:simplePos x="0" y="0"/>
            <wp:positionH relativeFrom="column">
              <wp:posOffset>274056</wp:posOffset>
            </wp:positionH>
            <wp:positionV relativeFrom="paragraph">
              <wp:posOffset>78500</wp:posOffset>
            </wp:positionV>
            <wp:extent cx="2767330" cy="3646170"/>
            <wp:effectExtent l="0" t="0" r="0" b="0"/>
            <wp:wrapNone/>
            <wp:docPr id="48"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793447">
        <w:rPr>
          <w:rFonts w:asciiTheme="majorHAnsi" w:eastAsia="Calibri" w:hAnsiTheme="majorHAnsi"/>
          <w:noProof/>
          <w:sz w:val="24"/>
          <w:szCs w:val="24"/>
        </w:rPr>
        <w:drawing>
          <wp:anchor distT="0" distB="0" distL="114935" distR="114935" simplePos="0" relativeHeight="251694080" behindDoc="0" locked="0" layoutInCell="1" allowOverlap="1" wp14:anchorId="5710EE2B" wp14:editId="3F8DD5C4">
            <wp:simplePos x="0" y="0"/>
            <wp:positionH relativeFrom="page">
              <wp:posOffset>3645739</wp:posOffset>
            </wp:positionH>
            <wp:positionV relativeFrom="paragraph">
              <wp:posOffset>78512</wp:posOffset>
            </wp:positionV>
            <wp:extent cx="3295650" cy="3667760"/>
            <wp:effectExtent l="0" t="0" r="0" b="0"/>
            <wp:wrapNone/>
            <wp:docPr id="49" name="Char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793447">
        <w:rPr>
          <w:rFonts w:asciiTheme="majorHAnsi" w:eastAsia="Calibri" w:hAnsiTheme="majorHAnsi"/>
          <w:b/>
          <w:sz w:val="24"/>
          <w:szCs w:val="24"/>
          <w:lang w:val="it-IT"/>
        </w:rPr>
        <w:t>Populaţia rezidentă</w:t>
      </w:r>
      <w:r w:rsidRPr="00793447">
        <w:rPr>
          <w:rFonts w:asciiTheme="majorHAnsi" w:eastAsia="Calibri" w:hAnsiTheme="majorHAnsi"/>
          <w:b/>
          <w:sz w:val="24"/>
          <w:szCs w:val="24"/>
          <w:lang w:val="ro-RO"/>
        </w:rPr>
        <w:t xml:space="preserve"> </w:t>
      </w:r>
      <w:r w:rsidRPr="00793447">
        <w:rPr>
          <w:rFonts w:asciiTheme="majorHAnsi" w:eastAsia="Calibri" w:hAnsiTheme="majorHAnsi"/>
          <w:b/>
          <w:sz w:val="24"/>
          <w:szCs w:val="24"/>
          <w:lang w:val="it-IT"/>
        </w:rPr>
        <w:t>la 1 ianuarie 2023 pe vârste şi sexe</w:t>
      </w:r>
    </w:p>
    <w:p w:rsidR="00930B66" w:rsidRDefault="00930B66" w:rsidP="00457EF0">
      <w:pPr>
        <w:autoSpaceDE w:val="0"/>
        <w:autoSpaceDN w:val="0"/>
        <w:adjustRightInd w:val="0"/>
        <w:spacing w:after="0" w:line="240" w:lineRule="auto"/>
        <w:ind w:firstLine="720"/>
        <w:jc w:val="both"/>
        <w:rPr>
          <w:rFonts w:asciiTheme="majorHAnsi" w:hAnsiTheme="majorHAnsi" w:cs="Arial"/>
          <w:b/>
          <w:sz w:val="24"/>
          <w:szCs w:val="24"/>
          <w:lang w:val="fr-FR"/>
        </w:rPr>
      </w:pPr>
      <w:r w:rsidRPr="00793447">
        <w:rPr>
          <w:rFonts w:asciiTheme="majorHAnsi" w:eastAsia="Calibri" w:hAnsiTheme="majorHAnsi"/>
          <w:noProof/>
          <w:sz w:val="24"/>
          <w:szCs w:val="24"/>
        </w:rPr>
        <mc:AlternateContent>
          <mc:Choice Requires="wps">
            <w:drawing>
              <wp:anchor distT="0" distB="0" distL="114300" distR="114300" simplePos="0" relativeHeight="251700224" behindDoc="0" locked="0" layoutInCell="1" allowOverlap="1" wp14:anchorId="3F4E9A7E" wp14:editId="4589A8E4">
                <wp:simplePos x="0" y="0"/>
                <wp:positionH relativeFrom="column">
                  <wp:posOffset>2838450</wp:posOffset>
                </wp:positionH>
                <wp:positionV relativeFrom="paragraph">
                  <wp:posOffset>30744</wp:posOffset>
                </wp:positionV>
                <wp:extent cx="331470" cy="209550"/>
                <wp:effectExtent l="0" t="0" r="1143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09550"/>
                        </a:xfrm>
                        <a:prstGeom prst="rect">
                          <a:avLst/>
                        </a:prstGeom>
                        <a:solidFill>
                          <a:srgbClr val="FFFFFF"/>
                        </a:solidFill>
                        <a:ln w="9525">
                          <a:solidFill>
                            <a:srgbClr val="FFFFFF"/>
                          </a:solidFill>
                          <a:miter lim="800000"/>
                          <a:headEnd/>
                          <a:tailEnd/>
                        </a:ln>
                      </wps:spPr>
                      <wps:txbx>
                        <w:txbxContent>
                          <w:p w:rsidR="003D5DB2" w:rsidRPr="00AA6158" w:rsidRDefault="003D5DB2" w:rsidP="003D5DB2">
                            <w:pPr>
                              <w:rPr>
                                <w:sz w:val="12"/>
                                <w:szCs w:val="12"/>
                              </w:rPr>
                            </w:pPr>
                            <w:r>
                              <w:rPr>
                                <w:sz w:val="12"/>
                                <w:szCs w:val="12"/>
                              </w:rPr>
                              <w: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E9A7E" id="_x0000_t202" coordsize="21600,21600" o:spt="202" path="m,l,21600r21600,l21600,xe">
                <v:stroke joinstyle="miter"/>
                <v:path gradientshapeok="t" o:connecttype="rect"/>
              </v:shapetype>
              <v:shape id="Text Box 50" o:spid="_x0000_s1031" type="#_x0000_t202" style="position:absolute;left:0;text-align:left;margin-left:223.5pt;margin-top:2.4pt;width:26.1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" strokecolor="white">
                <v:textbox>
                  <w:txbxContent>
                    <w:p w:rsidR="003D5DB2" w:rsidRPr="00AA6158" w:rsidRDefault="003D5DB2" w:rsidP="003D5DB2">
                      <w:pPr>
                        <w:rPr>
                          <w:sz w:val="12"/>
                          <w:szCs w:val="12"/>
                        </w:rPr>
                      </w:pPr>
                      <w:r>
                        <w:rPr>
                          <w:sz w:val="12"/>
                          <w:szCs w:val="12"/>
                        </w:rPr>
                        <w:t>ani</w:t>
                      </w:r>
                    </w:p>
                  </w:txbxContent>
                </v:textbox>
              </v:shape>
            </w:pict>
          </mc:Fallback>
        </mc:AlternateContent>
      </w:r>
    </w:p>
    <w:p w:rsidR="00930B66" w:rsidRPr="00793447" w:rsidRDefault="00930B66" w:rsidP="00457EF0">
      <w:pPr>
        <w:autoSpaceDE w:val="0"/>
        <w:autoSpaceDN w:val="0"/>
        <w:adjustRightInd w:val="0"/>
        <w:spacing w:after="0" w:line="240" w:lineRule="auto"/>
        <w:ind w:firstLine="720"/>
        <w:jc w:val="both"/>
        <w:rPr>
          <w:rFonts w:asciiTheme="majorHAnsi" w:hAnsiTheme="majorHAnsi" w:cs="Arial"/>
          <w:b/>
          <w:sz w:val="24"/>
          <w:szCs w:val="24"/>
          <w:lang w:val="fr-FR"/>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r w:rsidRPr="00793447">
        <w:rPr>
          <w:rFonts w:asciiTheme="majorHAnsi" w:eastAsia="Calibri" w:hAnsiTheme="majorHAnsi"/>
          <w:b/>
          <w:noProof/>
          <w:sz w:val="24"/>
          <w:szCs w:val="24"/>
        </w:rPr>
        <w:t xml:space="preserve"> </w:t>
      </w: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3D5DB2" w:rsidRPr="00793447" w:rsidRDefault="003D5DB2" w:rsidP="003D5DB2">
      <w:pPr>
        <w:autoSpaceDE w:val="0"/>
        <w:autoSpaceDN w:val="0"/>
        <w:adjustRightInd w:val="0"/>
        <w:spacing w:after="0" w:line="240" w:lineRule="auto"/>
        <w:jc w:val="both"/>
        <w:rPr>
          <w:rFonts w:asciiTheme="majorHAnsi" w:hAnsiTheme="majorHAnsi"/>
          <w:sz w:val="24"/>
          <w:szCs w:val="24"/>
          <w:lang w:val="ro-RO"/>
        </w:rPr>
      </w:pPr>
    </w:p>
    <w:p w:rsidR="00457EF0" w:rsidRPr="00793447" w:rsidRDefault="00457EF0" w:rsidP="00457EF0">
      <w:pPr>
        <w:pStyle w:val="Normal3"/>
        <w:ind w:firstLine="720"/>
        <w:jc w:val="both"/>
        <w:rPr>
          <w:rFonts w:asciiTheme="majorHAnsi" w:hAnsiTheme="majorHAnsi" w:cs="Calibri"/>
          <w:lang w:val="ro-RO"/>
        </w:rPr>
      </w:pPr>
      <w:r w:rsidRPr="00793447">
        <w:rPr>
          <w:rFonts w:asciiTheme="majorHAnsi" w:hAnsiTheme="majorHAnsi" w:cs="Calibri"/>
          <w:lang w:val="ro-RO"/>
        </w:rPr>
        <w:t>Analizând populaţia pe grupe de vârstă şi sexe, se poate observa că în cadrul grupei 0-54 ani numărul bărbaţilor este mai mare decât cel al femeilor, după vârsta de 55 ani numărul femeilor devine mai mare, ajungând la grupa de vârstă de 80 ani şi peste să fie de două ori mai mare decât cel al bărbaţilor.</w:t>
      </w:r>
    </w:p>
    <w:p w:rsidR="00457EF0" w:rsidRPr="00793447" w:rsidRDefault="00457EF0" w:rsidP="00871D27">
      <w:pPr>
        <w:autoSpaceDE w:val="0"/>
        <w:autoSpaceDN w:val="0"/>
        <w:adjustRightInd w:val="0"/>
        <w:spacing w:after="0" w:line="240" w:lineRule="auto"/>
        <w:jc w:val="both"/>
        <w:rPr>
          <w:rFonts w:asciiTheme="majorHAnsi" w:hAnsiTheme="majorHAnsi" w:cs="Arial"/>
          <w:color w:val="FF0000"/>
          <w:sz w:val="24"/>
          <w:szCs w:val="24"/>
          <w:lang w:val="pt-BR"/>
        </w:rPr>
      </w:pPr>
    </w:p>
    <w:p w:rsidR="00457EF0" w:rsidRPr="00793447" w:rsidRDefault="00457EF0" w:rsidP="00871D27">
      <w:pPr>
        <w:autoSpaceDE w:val="0"/>
        <w:autoSpaceDN w:val="0"/>
        <w:adjustRightInd w:val="0"/>
        <w:spacing w:after="0" w:line="240" w:lineRule="auto"/>
        <w:jc w:val="both"/>
        <w:rPr>
          <w:rFonts w:asciiTheme="majorHAnsi" w:hAnsiTheme="majorHAnsi" w:cs="Arial"/>
          <w:color w:val="FF0000"/>
          <w:sz w:val="24"/>
          <w:szCs w:val="24"/>
          <w:lang w:val="pt-BR"/>
        </w:rPr>
      </w:pPr>
    </w:p>
    <w:p w:rsidR="00457EF0" w:rsidRPr="00793447" w:rsidRDefault="00457EF0" w:rsidP="00871D27">
      <w:pPr>
        <w:autoSpaceDE w:val="0"/>
        <w:autoSpaceDN w:val="0"/>
        <w:adjustRightInd w:val="0"/>
        <w:spacing w:after="0" w:line="240" w:lineRule="auto"/>
        <w:jc w:val="both"/>
        <w:rPr>
          <w:rFonts w:asciiTheme="majorHAnsi" w:hAnsiTheme="majorHAnsi" w:cs="Arial"/>
          <w:color w:val="FF0000"/>
          <w:sz w:val="24"/>
          <w:szCs w:val="24"/>
          <w:lang w:val="pt-BR"/>
        </w:rPr>
      </w:pPr>
    </w:p>
    <w:p w:rsidR="00871D27" w:rsidRPr="00793447" w:rsidRDefault="00871D27" w:rsidP="00871D27">
      <w:pPr>
        <w:autoSpaceDE w:val="0"/>
        <w:autoSpaceDN w:val="0"/>
        <w:adjustRightInd w:val="0"/>
        <w:spacing w:after="0" w:line="240" w:lineRule="auto"/>
        <w:jc w:val="both"/>
        <w:rPr>
          <w:rFonts w:asciiTheme="majorHAnsi" w:hAnsiTheme="majorHAnsi"/>
          <w:sz w:val="24"/>
          <w:szCs w:val="24"/>
          <w:vertAlign w:val="superscript"/>
        </w:rPr>
        <w:sectPr w:rsidR="00871D27" w:rsidRPr="00793447" w:rsidSect="00793447">
          <w:headerReference w:type="even" r:id="rId15"/>
          <w:footerReference w:type="even" r:id="rId16"/>
          <w:footerReference w:type="default" r:id="rId17"/>
          <w:footerReference w:type="first" r:id="rId18"/>
          <w:footnotePr>
            <w:pos w:val="beneathText"/>
          </w:footnotePr>
          <w:type w:val="continuous"/>
          <w:pgSz w:w="11907" w:h="16840" w:code="9"/>
          <w:pgMar w:top="1134" w:right="708" w:bottom="284" w:left="1134" w:header="567" w:footer="170" w:gutter="0"/>
          <w:pgNumType w:start="0"/>
          <w:cols w:space="708"/>
          <w:titlePg/>
          <w:docGrid w:linePitch="326"/>
        </w:sectPr>
      </w:pPr>
      <w:r w:rsidRPr="00793447">
        <w:rPr>
          <w:rFonts w:asciiTheme="majorHAnsi" w:hAnsiTheme="majorHAnsi" w:cs="Arial"/>
          <w:b/>
          <w:bCs/>
          <w:sz w:val="24"/>
          <w:szCs w:val="24"/>
        </w:rPr>
        <w:t xml:space="preserve">1.2. FENOMENE DEMOGRAFICE </w:t>
      </w:r>
      <w:r w:rsidRPr="00793447">
        <w:rPr>
          <w:rFonts w:asciiTheme="majorHAnsi" w:hAnsiTheme="majorHAnsi"/>
          <w:sz w:val="24"/>
          <w:szCs w:val="24"/>
          <w:vertAlign w:val="superscript"/>
        </w:rPr>
        <w:footnoteReference w:id="4"/>
      </w:r>
      <w:r w:rsidR="009C45AE">
        <w:rPr>
          <w:rFonts w:asciiTheme="majorHAnsi" w:hAnsiTheme="majorHAnsi" w:cs="Arial"/>
          <w:b/>
          <w:bCs/>
          <w:sz w:val="24"/>
          <w:szCs w:val="24"/>
        </w:rPr>
        <w:t xml:space="preserve"> ÎN SEMESTRUL  I 2023</w:t>
      </w:r>
      <w:r w:rsidRPr="00793447">
        <w:rPr>
          <w:rFonts w:asciiTheme="majorHAnsi" w:hAnsiTheme="majorHAnsi" w:cs="Arial"/>
          <w:b/>
          <w:bCs/>
          <w:sz w:val="24"/>
          <w:szCs w:val="24"/>
        </w:rPr>
        <w:t xml:space="preserve"> </w:t>
      </w:r>
    </w:p>
    <w:p w:rsidR="00871D27" w:rsidRPr="00793447" w:rsidRDefault="00871D27" w:rsidP="00871D27">
      <w:pPr>
        <w:autoSpaceDE w:val="0"/>
        <w:autoSpaceDN w:val="0"/>
        <w:adjustRightInd w:val="0"/>
        <w:spacing w:after="0" w:line="240" w:lineRule="auto"/>
        <w:jc w:val="both"/>
        <w:rPr>
          <w:rFonts w:asciiTheme="majorHAnsi" w:hAnsiTheme="majorHAnsi" w:cs="Arial"/>
          <w:b/>
          <w:bCs/>
          <w:sz w:val="24"/>
          <w:szCs w:val="24"/>
        </w:rPr>
      </w:pPr>
    </w:p>
    <w:p w:rsidR="00871D27" w:rsidRPr="00793447" w:rsidRDefault="00871D27" w:rsidP="00871D27">
      <w:pPr>
        <w:autoSpaceDE w:val="0"/>
        <w:autoSpaceDN w:val="0"/>
        <w:adjustRightInd w:val="0"/>
        <w:spacing w:after="0" w:line="240" w:lineRule="auto"/>
        <w:ind w:firstLine="720"/>
        <w:jc w:val="both"/>
        <w:rPr>
          <w:rFonts w:asciiTheme="majorHAnsi" w:hAnsiTheme="majorHAnsi" w:cs="Arial"/>
          <w:sz w:val="24"/>
          <w:szCs w:val="24"/>
        </w:rPr>
      </w:pPr>
      <w:r w:rsidRPr="00793447">
        <w:rPr>
          <w:rFonts w:asciiTheme="majorHAnsi" w:hAnsiTheme="majorHAnsi" w:cs="Arial"/>
          <w:sz w:val="24"/>
          <w:szCs w:val="24"/>
        </w:rPr>
        <w:t>Fenomenele demografice surprind modul în care o popula</w:t>
      </w:r>
      <w:r w:rsidRPr="00793447">
        <w:rPr>
          <w:rFonts w:asciiTheme="majorHAnsi" w:hAnsiTheme="majorHAnsi" w:cs="ArialMT CE"/>
          <w:sz w:val="24"/>
          <w:szCs w:val="24"/>
        </w:rPr>
        <w:t>ţ</w:t>
      </w:r>
      <w:r w:rsidRPr="00793447">
        <w:rPr>
          <w:rFonts w:asciiTheme="majorHAnsi" w:hAnsiTheme="majorHAnsi" w:cs="Arial"/>
          <w:sz w:val="24"/>
          <w:szCs w:val="24"/>
        </w:rPr>
        <w:t>ie se modific</w:t>
      </w:r>
      <w:r w:rsidRPr="00793447">
        <w:rPr>
          <w:rFonts w:asciiTheme="majorHAnsi" w:hAnsiTheme="majorHAnsi" w:cs="ArialMT CE"/>
          <w:sz w:val="24"/>
          <w:szCs w:val="24"/>
        </w:rPr>
        <w:t xml:space="preserve">ă </w:t>
      </w:r>
      <w:r w:rsidRPr="00793447">
        <w:rPr>
          <w:rFonts w:asciiTheme="majorHAnsi" w:hAnsiTheme="majorHAnsi" w:cs="Arial"/>
          <w:sz w:val="24"/>
          <w:szCs w:val="24"/>
        </w:rPr>
        <w:t>în urma na</w:t>
      </w:r>
      <w:r w:rsidRPr="00793447">
        <w:rPr>
          <w:rFonts w:asciiTheme="majorHAnsi" w:hAnsiTheme="majorHAnsi" w:cs="ArialMT CE"/>
          <w:sz w:val="24"/>
          <w:szCs w:val="24"/>
        </w:rPr>
        <w:t>ş</w:t>
      </w:r>
      <w:r w:rsidRPr="00793447">
        <w:rPr>
          <w:rFonts w:asciiTheme="majorHAnsi" w:hAnsiTheme="majorHAnsi" w:cs="Arial"/>
          <w:sz w:val="24"/>
          <w:szCs w:val="24"/>
        </w:rPr>
        <w:t>terilor, deceselor, migra</w:t>
      </w:r>
      <w:r w:rsidRPr="00793447">
        <w:rPr>
          <w:rFonts w:asciiTheme="majorHAnsi" w:hAnsiTheme="majorHAnsi" w:cs="ArialMT CE"/>
          <w:sz w:val="24"/>
          <w:szCs w:val="24"/>
        </w:rPr>
        <w:t>ţ</w:t>
      </w:r>
      <w:r w:rsidRPr="00793447">
        <w:rPr>
          <w:rFonts w:asciiTheme="majorHAnsi" w:hAnsiTheme="majorHAnsi" w:cs="Arial"/>
          <w:sz w:val="24"/>
          <w:szCs w:val="24"/>
        </w:rPr>
        <w:t xml:space="preserve">iei </w:t>
      </w:r>
      <w:r w:rsidRPr="00793447">
        <w:rPr>
          <w:rFonts w:asciiTheme="majorHAnsi" w:hAnsiTheme="majorHAnsi" w:cs="ArialMT CE"/>
          <w:sz w:val="24"/>
          <w:szCs w:val="24"/>
        </w:rPr>
        <w:t>ş</w:t>
      </w:r>
      <w:r w:rsidRPr="00793447">
        <w:rPr>
          <w:rFonts w:asciiTheme="majorHAnsi" w:hAnsiTheme="majorHAnsi" w:cs="Arial"/>
          <w:sz w:val="24"/>
          <w:szCs w:val="24"/>
        </w:rPr>
        <w:t>i îmb</w:t>
      </w:r>
      <w:r w:rsidRPr="00793447">
        <w:rPr>
          <w:rFonts w:asciiTheme="majorHAnsi" w:hAnsiTheme="majorHAnsi" w:cs="ArialMT CE"/>
          <w:sz w:val="24"/>
          <w:szCs w:val="24"/>
        </w:rPr>
        <w:t>ă</w:t>
      </w:r>
      <w:r w:rsidRPr="00793447">
        <w:rPr>
          <w:rFonts w:asciiTheme="majorHAnsi" w:hAnsiTheme="majorHAnsi" w:cs="Arial"/>
          <w:sz w:val="24"/>
          <w:szCs w:val="24"/>
        </w:rPr>
        <w:t>trânirii popula</w:t>
      </w:r>
      <w:r w:rsidRPr="00793447">
        <w:rPr>
          <w:rFonts w:asciiTheme="majorHAnsi" w:hAnsiTheme="majorHAnsi" w:cs="ArialMT CE"/>
          <w:sz w:val="24"/>
          <w:szCs w:val="24"/>
        </w:rPr>
        <w:t>ţ</w:t>
      </w:r>
      <w:r w:rsidRPr="00793447">
        <w:rPr>
          <w:rFonts w:asciiTheme="majorHAnsi" w:hAnsiTheme="majorHAnsi" w:cs="Arial"/>
          <w:sz w:val="24"/>
          <w:szCs w:val="24"/>
        </w:rPr>
        <w:t>iei, într-o anumit</w:t>
      </w:r>
      <w:r w:rsidRPr="00793447">
        <w:rPr>
          <w:rFonts w:asciiTheme="majorHAnsi" w:hAnsiTheme="majorHAnsi" w:cs="ArialMT CE"/>
          <w:sz w:val="24"/>
          <w:szCs w:val="24"/>
        </w:rPr>
        <w:t xml:space="preserve">ă </w:t>
      </w:r>
      <w:r w:rsidRPr="00793447">
        <w:rPr>
          <w:rFonts w:asciiTheme="majorHAnsi" w:hAnsiTheme="majorHAnsi" w:cs="Arial"/>
          <w:sz w:val="24"/>
          <w:szCs w:val="24"/>
        </w:rPr>
        <w:t>perioad</w:t>
      </w:r>
      <w:r w:rsidRPr="00793447">
        <w:rPr>
          <w:rFonts w:asciiTheme="majorHAnsi" w:hAnsiTheme="majorHAnsi" w:cs="ArialMT CE"/>
          <w:sz w:val="24"/>
          <w:szCs w:val="24"/>
        </w:rPr>
        <w:t xml:space="preserve">ă </w:t>
      </w:r>
      <w:r w:rsidRPr="00793447">
        <w:rPr>
          <w:rFonts w:asciiTheme="majorHAnsi" w:hAnsiTheme="majorHAnsi" w:cs="Arial"/>
          <w:sz w:val="24"/>
          <w:szCs w:val="24"/>
        </w:rPr>
        <w:t>de timp. Evolu</w:t>
      </w:r>
      <w:r w:rsidRPr="00793447">
        <w:rPr>
          <w:rFonts w:asciiTheme="majorHAnsi" w:hAnsiTheme="majorHAnsi" w:cs="ArialMT CE"/>
          <w:sz w:val="24"/>
          <w:szCs w:val="24"/>
        </w:rPr>
        <w:t>ţ</w:t>
      </w:r>
      <w:r w:rsidRPr="00793447">
        <w:rPr>
          <w:rFonts w:asciiTheme="majorHAnsi" w:hAnsiTheme="majorHAnsi" w:cs="Arial"/>
          <w:sz w:val="24"/>
          <w:szCs w:val="24"/>
        </w:rPr>
        <w:t>ia evenimentelor demografice st</w:t>
      </w:r>
      <w:r w:rsidRPr="00793447">
        <w:rPr>
          <w:rFonts w:asciiTheme="majorHAnsi" w:hAnsiTheme="majorHAnsi" w:cs="ArialMT CE"/>
          <w:sz w:val="24"/>
          <w:szCs w:val="24"/>
        </w:rPr>
        <w:t xml:space="preserve">ă </w:t>
      </w:r>
      <w:r w:rsidRPr="00793447">
        <w:rPr>
          <w:rFonts w:asciiTheme="majorHAnsi" w:hAnsiTheme="majorHAnsi" w:cs="Arial"/>
          <w:sz w:val="24"/>
          <w:szCs w:val="24"/>
        </w:rPr>
        <w:t>la baza explic</w:t>
      </w:r>
      <w:r w:rsidRPr="00793447">
        <w:rPr>
          <w:rFonts w:asciiTheme="majorHAnsi" w:hAnsiTheme="majorHAnsi" w:cs="ArialMT CE"/>
          <w:sz w:val="24"/>
          <w:szCs w:val="24"/>
        </w:rPr>
        <w:t>ă</w:t>
      </w:r>
      <w:r w:rsidRPr="00793447">
        <w:rPr>
          <w:rFonts w:asciiTheme="majorHAnsi" w:hAnsiTheme="majorHAnsi" w:cs="Arial"/>
          <w:sz w:val="24"/>
          <w:szCs w:val="24"/>
        </w:rPr>
        <w:t>rii declinului demografic din ultimii  ani, acesta având efecte importante asupra structurii sociale, asupra pie</w:t>
      </w:r>
      <w:r w:rsidRPr="00793447">
        <w:rPr>
          <w:rFonts w:asciiTheme="majorHAnsi" w:hAnsiTheme="majorHAnsi" w:cs="ArialMT CE"/>
          <w:sz w:val="24"/>
          <w:szCs w:val="24"/>
        </w:rPr>
        <w:t>ţ</w:t>
      </w:r>
      <w:r w:rsidRPr="00793447">
        <w:rPr>
          <w:rFonts w:asciiTheme="majorHAnsi" w:hAnsiTheme="majorHAnsi" w:cs="Arial"/>
          <w:sz w:val="24"/>
          <w:szCs w:val="24"/>
        </w:rPr>
        <w:t xml:space="preserve">ei muncii </w:t>
      </w:r>
      <w:r w:rsidRPr="00793447">
        <w:rPr>
          <w:rFonts w:asciiTheme="majorHAnsi" w:hAnsiTheme="majorHAnsi" w:cs="ArialMT CE"/>
          <w:sz w:val="24"/>
          <w:szCs w:val="24"/>
        </w:rPr>
        <w:t>ş</w:t>
      </w:r>
      <w:r w:rsidRPr="00793447">
        <w:rPr>
          <w:rFonts w:asciiTheme="majorHAnsi" w:hAnsiTheme="majorHAnsi" w:cs="Arial"/>
          <w:sz w:val="24"/>
          <w:szCs w:val="24"/>
        </w:rPr>
        <w:t>i eficien</w:t>
      </w:r>
      <w:r w:rsidRPr="00793447">
        <w:rPr>
          <w:rFonts w:asciiTheme="majorHAnsi" w:hAnsiTheme="majorHAnsi" w:cs="ArialMT CE"/>
          <w:sz w:val="24"/>
          <w:szCs w:val="24"/>
        </w:rPr>
        <w:t>ţ</w:t>
      </w:r>
      <w:r w:rsidRPr="00793447">
        <w:rPr>
          <w:rFonts w:asciiTheme="majorHAnsi" w:hAnsiTheme="majorHAnsi" w:cs="Arial"/>
          <w:sz w:val="24"/>
          <w:szCs w:val="24"/>
        </w:rPr>
        <w:t>ei economice, a sistemului de securitate social</w:t>
      </w:r>
      <w:r w:rsidRPr="00793447">
        <w:rPr>
          <w:rFonts w:asciiTheme="majorHAnsi" w:hAnsiTheme="majorHAnsi" w:cs="ArialMT CE"/>
          <w:sz w:val="24"/>
          <w:szCs w:val="24"/>
        </w:rPr>
        <w:t>ă</w:t>
      </w:r>
      <w:r w:rsidRPr="00793447">
        <w:rPr>
          <w:rFonts w:asciiTheme="majorHAnsi" w:hAnsiTheme="majorHAnsi" w:cs="Arial"/>
          <w:sz w:val="24"/>
          <w:szCs w:val="24"/>
        </w:rPr>
        <w:t>, asupra coeziunii sociale între genera</w:t>
      </w:r>
      <w:r w:rsidRPr="00793447">
        <w:rPr>
          <w:rFonts w:asciiTheme="majorHAnsi" w:hAnsiTheme="majorHAnsi" w:cs="ArialMT CE"/>
          <w:sz w:val="24"/>
          <w:szCs w:val="24"/>
        </w:rPr>
        <w:t>ţ</w:t>
      </w:r>
      <w:r w:rsidRPr="00793447">
        <w:rPr>
          <w:rFonts w:asciiTheme="majorHAnsi" w:hAnsiTheme="majorHAnsi" w:cs="Arial"/>
          <w:sz w:val="24"/>
          <w:szCs w:val="24"/>
        </w:rPr>
        <w:t>ii etc.</w:t>
      </w:r>
    </w:p>
    <w:p w:rsidR="00871D27" w:rsidRPr="00793447" w:rsidRDefault="00871D27" w:rsidP="00871D27">
      <w:pPr>
        <w:spacing w:after="0" w:line="240" w:lineRule="auto"/>
        <w:ind w:firstLine="567"/>
        <w:jc w:val="both"/>
        <w:rPr>
          <w:rFonts w:asciiTheme="majorHAnsi" w:hAnsiTheme="majorHAnsi" w:cs="Arial"/>
          <w:sz w:val="24"/>
          <w:szCs w:val="24"/>
        </w:rPr>
      </w:pPr>
    </w:p>
    <w:p w:rsidR="00871D27" w:rsidRPr="00793447" w:rsidRDefault="00871D27" w:rsidP="00871D27">
      <w:pPr>
        <w:spacing w:after="0" w:line="240" w:lineRule="auto"/>
        <w:ind w:firstLine="567"/>
        <w:jc w:val="both"/>
        <w:rPr>
          <w:rFonts w:asciiTheme="majorHAnsi" w:hAnsiTheme="majorHAnsi" w:cs="Arial"/>
          <w:sz w:val="24"/>
          <w:szCs w:val="24"/>
        </w:rPr>
      </w:pPr>
      <w:r w:rsidRPr="00793447">
        <w:rPr>
          <w:rFonts w:asciiTheme="majorHAnsi" w:hAnsiTheme="majorHAnsi" w:cs="Arial"/>
          <w:sz w:val="24"/>
          <w:szCs w:val="24"/>
        </w:rPr>
        <w:t>În semestrul I 2023 principalele fenomene demografice din judeţul Prahova au fost următoarele:</w:t>
      </w:r>
    </w:p>
    <w:p w:rsidR="00871D27" w:rsidRPr="00793447" w:rsidRDefault="00871D27" w:rsidP="00871D27">
      <w:pPr>
        <w:spacing w:after="0" w:line="240" w:lineRule="auto"/>
        <w:ind w:firstLine="567"/>
        <w:jc w:val="both"/>
        <w:rPr>
          <w:rFonts w:asciiTheme="majorHAnsi" w:hAnsiTheme="majorHAnsi" w:cs="Arial"/>
          <w:color w:val="FF0000"/>
          <w:sz w:val="24"/>
          <w:szCs w:val="24"/>
        </w:rPr>
      </w:pPr>
    </w:p>
    <w:tbl>
      <w:tblPr>
        <w:tblW w:w="94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67"/>
        <w:gridCol w:w="1609"/>
        <w:gridCol w:w="1235"/>
        <w:gridCol w:w="1234"/>
        <w:gridCol w:w="1235"/>
        <w:gridCol w:w="1337"/>
        <w:gridCol w:w="1235"/>
      </w:tblGrid>
      <w:tr w:rsidR="00871D27" w:rsidRPr="00793447" w:rsidTr="000362E8">
        <w:trPr>
          <w:trHeight w:val="397"/>
          <w:jc w:val="right"/>
        </w:trPr>
        <w:tc>
          <w:tcPr>
            <w:tcW w:w="1567" w:type="dxa"/>
            <w:shd w:val="clear" w:color="auto" w:fill="auto"/>
          </w:tcPr>
          <w:p w:rsidR="00871D27" w:rsidRPr="00793447" w:rsidRDefault="00871D27" w:rsidP="00ED559A">
            <w:pPr>
              <w:spacing w:after="0" w:line="240" w:lineRule="auto"/>
              <w:ind w:firstLine="12"/>
              <w:rPr>
                <w:rFonts w:asciiTheme="majorHAnsi" w:hAnsiTheme="majorHAnsi" w:cs="Arial"/>
                <w:b/>
                <w:color w:val="FF0000"/>
                <w:sz w:val="24"/>
                <w:szCs w:val="24"/>
              </w:rPr>
            </w:pPr>
          </w:p>
        </w:tc>
        <w:tc>
          <w:tcPr>
            <w:tcW w:w="1609" w:type="dxa"/>
            <w:shd w:val="clear" w:color="auto" w:fill="auto"/>
            <w:vAlign w:val="center"/>
          </w:tcPr>
          <w:p w:rsidR="00871D27" w:rsidRPr="00793447" w:rsidRDefault="00871D27" w:rsidP="00ED559A">
            <w:pPr>
              <w:spacing w:after="0" w:line="240" w:lineRule="auto"/>
              <w:jc w:val="center"/>
              <w:rPr>
                <w:rFonts w:asciiTheme="majorHAnsi" w:hAnsiTheme="majorHAnsi" w:cs="Arial"/>
                <w:b/>
                <w:sz w:val="24"/>
                <w:szCs w:val="24"/>
              </w:rPr>
            </w:pPr>
            <w:r w:rsidRPr="00793447">
              <w:rPr>
                <w:rFonts w:asciiTheme="majorHAnsi" w:hAnsiTheme="majorHAnsi" w:cs="Arial"/>
                <w:b/>
                <w:sz w:val="24"/>
                <w:szCs w:val="24"/>
              </w:rPr>
              <w:t>Născuţi</w:t>
            </w:r>
          </w:p>
          <w:p w:rsidR="00871D27" w:rsidRPr="00793447" w:rsidRDefault="00871D27" w:rsidP="00ED559A">
            <w:pPr>
              <w:spacing w:after="0" w:line="240" w:lineRule="auto"/>
              <w:jc w:val="center"/>
              <w:rPr>
                <w:rFonts w:asciiTheme="majorHAnsi" w:hAnsiTheme="majorHAnsi" w:cs="Arial"/>
                <w:b/>
                <w:sz w:val="24"/>
                <w:szCs w:val="24"/>
              </w:rPr>
            </w:pPr>
            <w:r w:rsidRPr="00793447">
              <w:rPr>
                <w:rFonts w:asciiTheme="majorHAnsi" w:hAnsiTheme="majorHAnsi" w:cs="Arial"/>
                <w:b/>
                <w:sz w:val="24"/>
                <w:szCs w:val="24"/>
              </w:rPr>
              <w:t>vii</w:t>
            </w:r>
          </w:p>
        </w:tc>
        <w:tc>
          <w:tcPr>
            <w:tcW w:w="1235" w:type="dxa"/>
            <w:shd w:val="clear" w:color="auto" w:fill="auto"/>
            <w:vAlign w:val="center"/>
          </w:tcPr>
          <w:p w:rsidR="00871D27" w:rsidRPr="00793447" w:rsidRDefault="00871D27" w:rsidP="00ED559A">
            <w:pPr>
              <w:spacing w:after="0" w:line="240" w:lineRule="auto"/>
              <w:jc w:val="center"/>
              <w:rPr>
                <w:rFonts w:asciiTheme="majorHAnsi" w:hAnsiTheme="majorHAnsi" w:cs="Arial"/>
                <w:b/>
                <w:sz w:val="24"/>
                <w:szCs w:val="24"/>
              </w:rPr>
            </w:pPr>
            <w:r w:rsidRPr="00793447">
              <w:rPr>
                <w:rFonts w:asciiTheme="majorHAnsi" w:hAnsiTheme="majorHAnsi" w:cs="Arial"/>
                <w:b/>
                <w:sz w:val="24"/>
                <w:szCs w:val="24"/>
              </w:rPr>
              <w:t>Decedaţi</w:t>
            </w:r>
          </w:p>
        </w:tc>
        <w:tc>
          <w:tcPr>
            <w:tcW w:w="1234" w:type="dxa"/>
            <w:shd w:val="clear" w:color="auto" w:fill="auto"/>
            <w:vAlign w:val="center"/>
          </w:tcPr>
          <w:p w:rsidR="00871D27" w:rsidRPr="00793447" w:rsidRDefault="00871D27" w:rsidP="00ED559A">
            <w:pPr>
              <w:spacing w:after="0" w:line="240" w:lineRule="auto"/>
              <w:jc w:val="center"/>
              <w:rPr>
                <w:rFonts w:asciiTheme="majorHAnsi" w:hAnsiTheme="majorHAnsi" w:cs="Arial"/>
                <w:b/>
                <w:sz w:val="24"/>
                <w:szCs w:val="24"/>
              </w:rPr>
            </w:pPr>
            <w:r w:rsidRPr="00793447">
              <w:rPr>
                <w:rFonts w:asciiTheme="majorHAnsi" w:hAnsiTheme="majorHAnsi" w:cs="Arial"/>
                <w:b/>
                <w:sz w:val="24"/>
                <w:szCs w:val="24"/>
              </w:rPr>
              <w:t>Spor</w:t>
            </w:r>
          </w:p>
          <w:p w:rsidR="00871D27" w:rsidRPr="00793447" w:rsidRDefault="00871D27" w:rsidP="00ED559A">
            <w:pPr>
              <w:spacing w:after="0" w:line="240" w:lineRule="auto"/>
              <w:jc w:val="center"/>
              <w:rPr>
                <w:rFonts w:asciiTheme="majorHAnsi" w:hAnsiTheme="majorHAnsi" w:cs="Arial"/>
                <w:b/>
                <w:sz w:val="24"/>
                <w:szCs w:val="24"/>
              </w:rPr>
            </w:pPr>
            <w:r w:rsidRPr="00793447">
              <w:rPr>
                <w:rFonts w:asciiTheme="majorHAnsi" w:hAnsiTheme="majorHAnsi" w:cs="Arial"/>
                <w:b/>
                <w:sz w:val="24"/>
                <w:szCs w:val="24"/>
              </w:rPr>
              <w:t>natural</w:t>
            </w:r>
          </w:p>
        </w:tc>
        <w:tc>
          <w:tcPr>
            <w:tcW w:w="1235" w:type="dxa"/>
            <w:shd w:val="clear" w:color="auto" w:fill="auto"/>
            <w:vAlign w:val="center"/>
          </w:tcPr>
          <w:p w:rsidR="00871D27" w:rsidRPr="00793447" w:rsidRDefault="00871D27" w:rsidP="00ED559A">
            <w:pPr>
              <w:spacing w:after="0" w:line="240" w:lineRule="auto"/>
              <w:jc w:val="center"/>
              <w:rPr>
                <w:rFonts w:asciiTheme="majorHAnsi" w:hAnsiTheme="majorHAnsi" w:cs="Arial"/>
                <w:b/>
                <w:sz w:val="24"/>
                <w:szCs w:val="24"/>
              </w:rPr>
            </w:pPr>
            <w:r w:rsidRPr="00793447">
              <w:rPr>
                <w:rFonts w:asciiTheme="majorHAnsi" w:hAnsiTheme="majorHAnsi" w:cs="Arial"/>
                <w:b/>
                <w:sz w:val="24"/>
                <w:szCs w:val="24"/>
              </w:rPr>
              <w:t>Căsătorii</w:t>
            </w:r>
          </w:p>
        </w:tc>
        <w:tc>
          <w:tcPr>
            <w:tcW w:w="1337" w:type="dxa"/>
            <w:shd w:val="clear" w:color="auto" w:fill="auto"/>
            <w:vAlign w:val="center"/>
          </w:tcPr>
          <w:p w:rsidR="00871D27" w:rsidRPr="00793447" w:rsidRDefault="00871D27" w:rsidP="00ED559A">
            <w:pPr>
              <w:spacing w:after="0" w:line="240" w:lineRule="auto"/>
              <w:jc w:val="center"/>
              <w:rPr>
                <w:rFonts w:asciiTheme="majorHAnsi" w:hAnsiTheme="majorHAnsi" w:cs="Arial"/>
                <w:b/>
                <w:sz w:val="24"/>
                <w:szCs w:val="24"/>
              </w:rPr>
            </w:pPr>
            <w:r w:rsidRPr="00793447">
              <w:rPr>
                <w:rFonts w:asciiTheme="majorHAnsi" w:hAnsiTheme="majorHAnsi" w:cs="Arial"/>
                <w:b/>
                <w:sz w:val="24"/>
                <w:szCs w:val="24"/>
              </w:rPr>
              <w:t>Divorţuri</w:t>
            </w:r>
          </w:p>
        </w:tc>
        <w:tc>
          <w:tcPr>
            <w:tcW w:w="1235" w:type="dxa"/>
            <w:shd w:val="clear" w:color="auto" w:fill="auto"/>
            <w:vAlign w:val="center"/>
          </w:tcPr>
          <w:p w:rsidR="00871D27" w:rsidRPr="00793447" w:rsidRDefault="00871D27" w:rsidP="00ED559A">
            <w:pPr>
              <w:spacing w:after="0" w:line="240" w:lineRule="auto"/>
              <w:ind w:hanging="27"/>
              <w:jc w:val="center"/>
              <w:rPr>
                <w:rFonts w:asciiTheme="majorHAnsi" w:hAnsiTheme="majorHAnsi" w:cs="Arial"/>
                <w:b/>
                <w:sz w:val="24"/>
                <w:szCs w:val="24"/>
              </w:rPr>
            </w:pPr>
            <w:r w:rsidRPr="00793447">
              <w:rPr>
                <w:rFonts w:asciiTheme="majorHAnsi" w:hAnsiTheme="majorHAnsi" w:cs="Arial"/>
                <w:b/>
                <w:sz w:val="24"/>
                <w:szCs w:val="24"/>
              </w:rPr>
              <w:t>Decedaţi</w:t>
            </w:r>
          </w:p>
          <w:p w:rsidR="00871D27" w:rsidRPr="00793447" w:rsidRDefault="00871D27" w:rsidP="00ED559A">
            <w:pPr>
              <w:spacing w:after="0" w:line="240" w:lineRule="auto"/>
              <w:ind w:hanging="27"/>
              <w:jc w:val="center"/>
              <w:rPr>
                <w:rFonts w:asciiTheme="majorHAnsi" w:hAnsiTheme="majorHAnsi" w:cs="Arial"/>
                <w:b/>
                <w:sz w:val="24"/>
                <w:szCs w:val="24"/>
              </w:rPr>
            </w:pPr>
            <w:r w:rsidRPr="00793447">
              <w:rPr>
                <w:rFonts w:asciiTheme="majorHAnsi" w:hAnsiTheme="majorHAnsi" w:cs="Arial"/>
                <w:b/>
                <w:sz w:val="24"/>
                <w:szCs w:val="24"/>
              </w:rPr>
              <w:t>sub 1 an</w:t>
            </w:r>
          </w:p>
        </w:tc>
      </w:tr>
      <w:tr w:rsidR="00871D27" w:rsidRPr="00793447" w:rsidTr="000362E8">
        <w:trPr>
          <w:jc w:val="right"/>
        </w:trPr>
        <w:tc>
          <w:tcPr>
            <w:tcW w:w="1567" w:type="dxa"/>
            <w:shd w:val="clear" w:color="auto" w:fill="auto"/>
          </w:tcPr>
          <w:p w:rsidR="00871D27" w:rsidRPr="00793447" w:rsidRDefault="00871D27" w:rsidP="00ED559A">
            <w:pPr>
              <w:spacing w:after="0"/>
              <w:ind w:firstLine="12"/>
              <w:rPr>
                <w:rFonts w:asciiTheme="majorHAnsi" w:hAnsiTheme="majorHAnsi" w:cs="Arial"/>
                <w:sz w:val="24"/>
                <w:szCs w:val="24"/>
              </w:rPr>
            </w:pPr>
            <w:r w:rsidRPr="00793447">
              <w:rPr>
                <w:rFonts w:asciiTheme="majorHAnsi" w:hAnsiTheme="majorHAnsi" w:cs="Arial"/>
                <w:sz w:val="24"/>
                <w:szCs w:val="24"/>
              </w:rPr>
              <w:t>Sem. I 2023</w:t>
            </w:r>
          </w:p>
        </w:tc>
        <w:tc>
          <w:tcPr>
            <w:tcW w:w="1609" w:type="dxa"/>
            <w:tcBorders>
              <w:top w:val="single" w:sz="4" w:space="0" w:color="auto"/>
              <w:left w:val="nil"/>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2281</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5118</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-2837</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1408</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302</w:t>
            </w:r>
          </w:p>
        </w:tc>
        <w:tc>
          <w:tcPr>
            <w:tcW w:w="1235" w:type="dxa"/>
            <w:tcBorders>
              <w:top w:val="single" w:sz="4" w:space="0" w:color="auto"/>
              <w:left w:val="single" w:sz="4" w:space="0" w:color="auto"/>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13</w:t>
            </w:r>
          </w:p>
        </w:tc>
      </w:tr>
      <w:tr w:rsidR="00871D27" w:rsidRPr="00793447" w:rsidTr="000362E8">
        <w:trPr>
          <w:jc w:val="right"/>
        </w:trPr>
        <w:tc>
          <w:tcPr>
            <w:tcW w:w="1567" w:type="dxa"/>
            <w:shd w:val="clear" w:color="auto" w:fill="auto"/>
          </w:tcPr>
          <w:p w:rsidR="00871D27" w:rsidRPr="00793447" w:rsidRDefault="00871D27" w:rsidP="00ED559A">
            <w:pPr>
              <w:spacing w:after="0"/>
              <w:ind w:firstLine="12"/>
              <w:rPr>
                <w:rFonts w:asciiTheme="majorHAnsi" w:hAnsiTheme="majorHAnsi" w:cs="Arial"/>
                <w:sz w:val="24"/>
                <w:szCs w:val="24"/>
              </w:rPr>
            </w:pPr>
            <w:r w:rsidRPr="00793447">
              <w:rPr>
                <w:rFonts w:asciiTheme="majorHAnsi" w:hAnsiTheme="majorHAnsi" w:cs="Arial"/>
                <w:sz w:val="24"/>
                <w:szCs w:val="24"/>
              </w:rPr>
              <w:t>Sem. I 2022</w:t>
            </w:r>
          </w:p>
        </w:tc>
        <w:tc>
          <w:tcPr>
            <w:tcW w:w="1609" w:type="dxa"/>
            <w:tcBorders>
              <w:top w:val="single" w:sz="4" w:space="0" w:color="auto"/>
              <w:left w:val="single" w:sz="4" w:space="0" w:color="auto"/>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2654</w:t>
            </w:r>
          </w:p>
        </w:tc>
        <w:tc>
          <w:tcPr>
            <w:tcW w:w="1235" w:type="dxa"/>
            <w:tcBorders>
              <w:top w:val="single" w:sz="4" w:space="0" w:color="auto"/>
              <w:left w:val="nil"/>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6001</w:t>
            </w:r>
          </w:p>
        </w:tc>
        <w:tc>
          <w:tcPr>
            <w:tcW w:w="1234" w:type="dxa"/>
            <w:tcBorders>
              <w:top w:val="single" w:sz="4" w:space="0" w:color="auto"/>
              <w:left w:val="nil"/>
              <w:bottom w:val="single" w:sz="4" w:space="0" w:color="auto"/>
              <w:right w:val="single" w:sz="4" w:space="0" w:color="auto"/>
            </w:tcBorders>
            <w:shd w:val="clear" w:color="000000" w:fill="FFFFFF"/>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-3347</w:t>
            </w:r>
          </w:p>
        </w:tc>
        <w:tc>
          <w:tcPr>
            <w:tcW w:w="1235" w:type="dxa"/>
            <w:tcBorders>
              <w:top w:val="single" w:sz="4" w:space="0" w:color="auto"/>
              <w:left w:val="nil"/>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1388</w:t>
            </w:r>
          </w:p>
        </w:tc>
        <w:tc>
          <w:tcPr>
            <w:tcW w:w="1337" w:type="dxa"/>
            <w:tcBorders>
              <w:top w:val="single" w:sz="4" w:space="0" w:color="auto"/>
              <w:left w:val="nil"/>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459</w:t>
            </w:r>
          </w:p>
        </w:tc>
        <w:tc>
          <w:tcPr>
            <w:tcW w:w="1235" w:type="dxa"/>
            <w:tcBorders>
              <w:top w:val="single" w:sz="4" w:space="0" w:color="auto"/>
              <w:left w:val="nil"/>
              <w:bottom w:val="single" w:sz="4" w:space="0" w:color="auto"/>
              <w:right w:val="single" w:sz="4" w:space="0" w:color="auto"/>
            </w:tcBorders>
            <w:shd w:val="clear" w:color="auto" w:fill="auto"/>
          </w:tcPr>
          <w:p w:rsidR="00871D27" w:rsidRPr="00793447" w:rsidRDefault="00871D27" w:rsidP="00ED559A">
            <w:pPr>
              <w:spacing w:after="0"/>
              <w:ind w:hanging="19"/>
              <w:jc w:val="center"/>
              <w:rPr>
                <w:rFonts w:asciiTheme="majorHAnsi" w:hAnsiTheme="majorHAnsi" w:cs="Arial"/>
                <w:sz w:val="24"/>
                <w:szCs w:val="24"/>
              </w:rPr>
            </w:pPr>
            <w:r w:rsidRPr="00793447">
              <w:rPr>
                <w:rFonts w:asciiTheme="majorHAnsi" w:hAnsiTheme="majorHAnsi" w:cs="Arial"/>
                <w:sz w:val="24"/>
                <w:szCs w:val="24"/>
              </w:rPr>
              <w:t>10</w:t>
            </w:r>
          </w:p>
        </w:tc>
      </w:tr>
    </w:tbl>
    <w:p w:rsidR="00871D27" w:rsidRPr="00793447" w:rsidRDefault="00871D27" w:rsidP="00871D27">
      <w:pPr>
        <w:spacing w:after="0" w:line="240" w:lineRule="auto"/>
        <w:rPr>
          <w:rFonts w:asciiTheme="majorHAnsi" w:hAnsiTheme="majorHAnsi" w:cs="Arial"/>
          <w:color w:val="FF0000"/>
          <w:sz w:val="24"/>
          <w:szCs w:val="24"/>
        </w:rPr>
      </w:pPr>
    </w:p>
    <w:p w:rsidR="00871D27" w:rsidRPr="00793447" w:rsidRDefault="00871D27" w:rsidP="00871D27">
      <w:pPr>
        <w:spacing w:after="0" w:line="240" w:lineRule="auto"/>
        <w:ind w:firstLine="720"/>
        <w:jc w:val="both"/>
        <w:rPr>
          <w:rFonts w:asciiTheme="majorHAnsi" w:hAnsiTheme="majorHAnsi" w:cs="Arial"/>
          <w:sz w:val="24"/>
          <w:szCs w:val="24"/>
          <w:lang w:val="it-IT"/>
        </w:rPr>
      </w:pPr>
      <w:r w:rsidRPr="00793447">
        <w:rPr>
          <w:rFonts w:asciiTheme="majorHAnsi" w:hAnsiTheme="majorHAnsi" w:cs="Arial"/>
          <w:sz w:val="24"/>
          <w:szCs w:val="24"/>
          <w:lang w:val="it-IT"/>
        </w:rPr>
        <w:t xml:space="preserve">În semestrul I 2023 comparativ cu aceeaşi perioadă din anul precedent, se observă o creştere a numărului </w:t>
      </w:r>
      <w:r w:rsidR="00ED559A" w:rsidRPr="00793447">
        <w:rPr>
          <w:rFonts w:asciiTheme="majorHAnsi" w:hAnsiTheme="majorHAnsi" w:cs="Arial"/>
          <w:sz w:val="24"/>
          <w:szCs w:val="24"/>
          <w:lang w:val="it-IT"/>
        </w:rPr>
        <w:t xml:space="preserve">deceselor sub un an (+30,0%), </w:t>
      </w:r>
      <w:r w:rsidRPr="00793447">
        <w:rPr>
          <w:rFonts w:asciiTheme="majorHAnsi" w:hAnsiTheme="majorHAnsi" w:cs="Arial"/>
          <w:sz w:val="24"/>
          <w:szCs w:val="24"/>
          <w:lang w:val="it-IT"/>
        </w:rPr>
        <w:t xml:space="preserve">căsătoriilor (+1,4%) şi o scădere a divorţurilor </w:t>
      </w:r>
      <w:r w:rsidR="009C45AE">
        <w:rPr>
          <w:rFonts w:asciiTheme="majorHAnsi" w:hAnsiTheme="majorHAnsi" w:cs="Arial"/>
          <w:sz w:val="24"/>
          <w:szCs w:val="24"/>
          <w:lang w:val="it-IT"/>
        </w:rPr>
        <w:t xml:space="preserve">                       </w:t>
      </w:r>
      <w:r w:rsidRPr="00793447">
        <w:rPr>
          <w:rFonts w:asciiTheme="majorHAnsi" w:hAnsiTheme="majorHAnsi" w:cs="Arial"/>
          <w:sz w:val="24"/>
          <w:szCs w:val="24"/>
          <w:lang w:val="it-IT"/>
        </w:rPr>
        <w:t xml:space="preserve">(-34,2%), deceselor (-14,7%) </w:t>
      </w:r>
      <w:r w:rsidRPr="00793447">
        <w:rPr>
          <w:rFonts w:asciiTheme="majorHAnsi" w:hAnsiTheme="majorHAnsi" w:cs="Arial"/>
          <w:sz w:val="24"/>
          <w:szCs w:val="24"/>
          <w:lang w:val="ro-RO"/>
        </w:rPr>
        <w:t xml:space="preserve">și </w:t>
      </w:r>
      <w:r w:rsidRPr="00793447">
        <w:rPr>
          <w:rFonts w:asciiTheme="majorHAnsi" w:hAnsiTheme="majorHAnsi" w:cs="Arial"/>
          <w:sz w:val="24"/>
          <w:szCs w:val="24"/>
          <w:lang w:val="it-IT"/>
        </w:rPr>
        <w:t xml:space="preserve">născuţilor vii (-14,1%). </w:t>
      </w:r>
    </w:p>
    <w:p w:rsidR="00871D27" w:rsidRPr="00793447" w:rsidRDefault="00871D27" w:rsidP="00D47BB8">
      <w:pPr>
        <w:spacing w:after="0" w:line="240" w:lineRule="auto"/>
        <w:ind w:firstLine="720"/>
        <w:jc w:val="both"/>
        <w:rPr>
          <w:rFonts w:asciiTheme="majorHAnsi" w:hAnsiTheme="majorHAnsi" w:cs="Arial"/>
          <w:sz w:val="24"/>
          <w:szCs w:val="24"/>
          <w:lang w:val="it-IT"/>
        </w:rPr>
      </w:pPr>
      <w:r w:rsidRPr="00793447">
        <w:rPr>
          <w:rFonts w:asciiTheme="majorHAnsi" w:hAnsiTheme="majorHAnsi" w:cs="Arial"/>
          <w:sz w:val="24"/>
          <w:szCs w:val="24"/>
          <w:lang w:val="it-IT"/>
        </w:rPr>
        <w:t>Sporul natural înregistrat în semestrul I 2023 a fost în continuare negativ, de -2837 persoane, faţă de -3347 persoane înregistrate în semestrul I 2022.</w:t>
      </w:r>
    </w:p>
    <w:p w:rsidR="00871D27" w:rsidRPr="00793447" w:rsidRDefault="00871D27" w:rsidP="00871D27">
      <w:pPr>
        <w:tabs>
          <w:tab w:val="left" w:pos="6544"/>
        </w:tabs>
        <w:spacing w:after="0" w:line="240" w:lineRule="auto"/>
        <w:jc w:val="both"/>
        <w:rPr>
          <w:rFonts w:asciiTheme="majorHAnsi" w:hAnsiTheme="majorHAnsi" w:cs="Arial"/>
          <w:b/>
          <w:caps/>
          <w:color w:val="FF0000"/>
          <w:sz w:val="24"/>
          <w:szCs w:val="24"/>
        </w:rPr>
      </w:pPr>
      <w:r w:rsidRPr="00793447">
        <w:rPr>
          <w:rFonts w:asciiTheme="majorHAnsi" w:hAnsiTheme="majorHAnsi" w:cs="Arial"/>
          <w:b/>
          <w:caps/>
          <w:color w:val="FF0000"/>
          <w:sz w:val="24"/>
          <w:szCs w:val="24"/>
        </w:rPr>
        <w:tab/>
      </w:r>
    </w:p>
    <w:p w:rsidR="00871D27" w:rsidRDefault="009C45AE" w:rsidP="00871D27">
      <w:pPr>
        <w:spacing w:after="0" w:line="240" w:lineRule="auto"/>
        <w:jc w:val="center"/>
        <w:rPr>
          <w:rFonts w:asciiTheme="majorHAnsi" w:hAnsiTheme="majorHAnsi" w:cs="Arial"/>
          <w:b/>
          <w:caps/>
          <w:color w:val="FF0000"/>
          <w:sz w:val="24"/>
          <w:szCs w:val="24"/>
        </w:rPr>
      </w:pPr>
      <w:r w:rsidRPr="00793447">
        <w:rPr>
          <w:rFonts w:asciiTheme="majorHAnsi" w:hAnsiTheme="majorHAnsi"/>
          <w:b/>
          <w:bCs/>
          <w:noProof/>
          <w:sz w:val="24"/>
          <w:szCs w:val="24"/>
        </w:rPr>
        <w:drawing>
          <wp:inline distT="0" distB="0" distL="0" distR="0" wp14:anchorId="46D1529F" wp14:editId="675B7FD7">
            <wp:extent cx="6391275" cy="2700068"/>
            <wp:effectExtent l="0" t="0" r="0" b="0"/>
            <wp:docPr id="51" name="Char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C45AE" w:rsidRDefault="009C45AE" w:rsidP="00871D27">
      <w:pPr>
        <w:spacing w:after="0" w:line="240" w:lineRule="auto"/>
        <w:jc w:val="center"/>
        <w:rPr>
          <w:rFonts w:asciiTheme="majorHAnsi" w:hAnsiTheme="majorHAnsi" w:cs="Arial"/>
          <w:b/>
          <w:caps/>
          <w:color w:val="FF0000"/>
          <w:sz w:val="24"/>
          <w:szCs w:val="24"/>
        </w:rPr>
      </w:pPr>
    </w:p>
    <w:p w:rsidR="009C45AE" w:rsidRPr="00793447" w:rsidRDefault="009C45AE" w:rsidP="00871D27">
      <w:pPr>
        <w:spacing w:after="0" w:line="240" w:lineRule="auto"/>
        <w:jc w:val="center"/>
        <w:rPr>
          <w:rFonts w:asciiTheme="majorHAnsi" w:hAnsiTheme="majorHAnsi" w:cs="Arial"/>
          <w:b/>
          <w:caps/>
          <w:color w:val="FF0000"/>
          <w:sz w:val="24"/>
          <w:szCs w:val="24"/>
        </w:rPr>
      </w:pPr>
    </w:p>
    <w:p w:rsidR="00871D27" w:rsidRPr="00793447" w:rsidRDefault="00871D27" w:rsidP="00871D27">
      <w:pPr>
        <w:spacing w:after="0" w:line="240" w:lineRule="auto"/>
        <w:ind w:firstLine="720"/>
        <w:jc w:val="both"/>
        <w:rPr>
          <w:rFonts w:asciiTheme="majorHAnsi" w:eastAsia="Calibri" w:hAnsiTheme="majorHAnsi"/>
          <w:sz w:val="24"/>
          <w:szCs w:val="24"/>
        </w:rPr>
      </w:pPr>
      <w:r w:rsidRPr="00793447">
        <w:rPr>
          <w:rFonts w:asciiTheme="majorHAnsi" w:eastAsia="Calibri" w:hAnsiTheme="majorHAnsi"/>
          <w:sz w:val="24"/>
          <w:szCs w:val="24"/>
        </w:rPr>
        <w:t>În semestrul I 2023, ordinea principalelor cauze de deces a fost următoarea:  primul loc a fost ocupat de bolile aparatului circulator (54,4%), urmate de tumori (16,3%), bolile aparatului respirator (11,1%), bolile aparatului digestiv (6,2%), leziuni traumatice, otrăviri şi alte consecinţe ale cauzelor externe (3,3%), boli ale sistemului nervos (2,9%), iar alte boli au reprezentat cauzele de deces pentru 5,8% dintre persoanele decedate.</w:t>
      </w:r>
    </w:p>
    <w:p w:rsidR="00871D27" w:rsidRPr="00793447" w:rsidRDefault="00871D27" w:rsidP="00871D27">
      <w:pPr>
        <w:spacing w:after="0" w:line="240" w:lineRule="auto"/>
        <w:ind w:firstLine="720"/>
        <w:jc w:val="both"/>
        <w:rPr>
          <w:rFonts w:asciiTheme="majorHAnsi" w:eastAsia="Calibri" w:hAnsiTheme="majorHAnsi"/>
          <w:color w:val="FF0000"/>
          <w:sz w:val="24"/>
          <w:szCs w:val="24"/>
        </w:rPr>
      </w:pPr>
    </w:p>
    <w:p w:rsidR="00650430" w:rsidRDefault="00650430" w:rsidP="00871D27">
      <w:pPr>
        <w:autoSpaceDE w:val="0"/>
        <w:autoSpaceDN w:val="0"/>
        <w:adjustRightInd w:val="0"/>
        <w:spacing w:after="0" w:line="240" w:lineRule="auto"/>
        <w:ind w:firstLine="720"/>
        <w:jc w:val="center"/>
        <w:rPr>
          <w:rFonts w:asciiTheme="majorHAnsi" w:hAnsiTheme="majorHAnsi" w:cs="Arial"/>
          <w:b/>
          <w:sz w:val="24"/>
          <w:szCs w:val="24"/>
          <w:shd w:val="clear" w:color="auto" w:fill="FFFFFF"/>
        </w:rPr>
      </w:pPr>
    </w:p>
    <w:p w:rsidR="00650430" w:rsidRDefault="00650430" w:rsidP="00871D27">
      <w:pPr>
        <w:autoSpaceDE w:val="0"/>
        <w:autoSpaceDN w:val="0"/>
        <w:adjustRightInd w:val="0"/>
        <w:spacing w:after="0" w:line="240" w:lineRule="auto"/>
        <w:ind w:firstLine="720"/>
        <w:jc w:val="center"/>
        <w:rPr>
          <w:rFonts w:asciiTheme="majorHAnsi" w:hAnsiTheme="majorHAnsi" w:cs="Arial"/>
          <w:b/>
          <w:sz w:val="24"/>
          <w:szCs w:val="24"/>
          <w:shd w:val="clear" w:color="auto" w:fill="FFFFFF"/>
        </w:rPr>
      </w:pPr>
    </w:p>
    <w:p w:rsidR="00804050" w:rsidRPr="00793447" w:rsidRDefault="00871D27" w:rsidP="00871D27">
      <w:pPr>
        <w:autoSpaceDE w:val="0"/>
        <w:autoSpaceDN w:val="0"/>
        <w:adjustRightInd w:val="0"/>
        <w:spacing w:after="0" w:line="240" w:lineRule="auto"/>
        <w:ind w:firstLine="720"/>
        <w:jc w:val="center"/>
        <w:rPr>
          <w:rFonts w:asciiTheme="majorHAnsi" w:hAnsiTheme="majorHAnsi" w:cs="Arial"/>
          <w:sz w:val="24"/>
          <w:szCs w:val="24"/>
          <w:shd w:val="clear" w:color="auto" w:fill="FFFFFF"/>
        </w:rPr>
      </w:pPr>
      <w:r w:rsidRPr="00793447">
        <w:rPr>
          <w:rFonts w:asciiTheme="majorHAnsi" w:hAnsiTheme="majorHAnsi" w:cs="Arial"/>
          <w:b/>
          <w:sz w:val="24"/>
          <w:szCs w:val="24"/>
          <w:shd w:val="clear" w:color="auto" w:fill="FFFFFF"/>
        </w:rPr>
        <w:t xml:space="preserve">Decese înregistrate în </w:t>
      </w:r>
      <w:r w:rsidR="009C45AE">
        <w:rPr>
          <w:rFonts w:asciiTheme="majorHAnsi" w:hAnsiTheme="majorHAnsi" w:cs="Arial"/>
          <w:b/>
          <w:sz w:val="24"/>
          <w:szCs w:val="24"/>
          <w:shd w:val="clear" w:color="auto" w:fill="FFFFFF"/>
        </w:rPr>
        <w:t>semestrul I</w:t>
      </w:r>
      <w:r w:rsidRPr="00793447">
        <w:rPr>
          <w:rFonts w:asciiTheme="majorHAnsi" w:hAnsiTheme="majorHAnsi" w:cs="Arial"/>
          <w:b/>
          <w:sz w:val="24"/>
          <w:szCs w:val="24"/>
          <w:shd w:val="clear" w:color="auto" w:fill="FFFFFF"/>
        </w:rPr>
        <w:t xml:space="preserve"> 202</w:t>
      </w:r>
      <w:r w:rsidR="000362E8" w:rsidRPr="00793447">
        <w:rPr>
          <w:rFonts w:asciiTheme="majorHAnsi" w:hAnsiTheme="majorHAnsi" w:cs="Arial"/>
          <w:b/>
          <w:sz w:val="24"/>
          <w:szCs w:val="24"/>
          <w:shd w:val="clear" w:color="auto" w:fill="FFFFFF"/>
        </w:rPr>
        <w:t>3</w:t>
      </w:r>
      <w:r w:rsidRPr="00793447">
        <w:rPr>
          <w:rFonts w:asciiTheme="majorHAnsi" w:hAnsiTheme="majorHAnsi" w:cs="Arial"/>
          <w:b/>
          <w:sz w:val="24"/>
          <w:szCs w:val="24"/>
          <w:shd w:val="clear" w:color="auto" w:fill="FFFFFF"/>
        </w:rPr>
        <w:t xml:space="preserve"> și decese produse în </w:t>
      </w:r>
      <w:r w:rsidR="009C45AE">
        <w:rPr>
          <w:rFonts w:asciiTheme="majorHAnsi" w:hAnsiTheme="majorHAnsi" w:cs="Arial"/>
          <w:b/>
          <w:sz w:val="24"/>
          <w:szCs w:val="24"/>
          <w:shd w:val="clear" w:color="auto" w:fill="FFFFFF"/>
        </w:rPr>
        <w:t>semestrul I</w:t>
      </w:r>
      <w:r w:rsidRPr="00793447">
        <w:rPr>
          <w:rFonts w:asciiTheme="majorHAnsi" w:hAnsiTheme="majorHAnsi" w:cs="Arial"/>
          <w:b/>
          <w:sz w:val="24"/>
          <w:szCs w:val="24"/>
          <w:shd w:val="clear" w:color="auto" w:fill="FFFFFF"/>
        </w:rPr>
        <w:t xml:space="preserve"> 202</w:t>
      </w:r>
      <w:r w:rsidR="000362E8" w:rsidRPr="00793447">
        <w:rPr>
          <w:rFonts w:asciiTheme="majorHAnsi" w:hAnsiTheme="majorHAnsi" w:cs="Arial"/>
          <w:b/>
          <w:sz w:val="24"/>
          <w:szCs w:val="24"/>
          <w:shd w:val="clear" w:color="auto" w:fill="FFFFFF"/>
        </w:rPr>
        <w:t>2</w:t>
      </w:r>
      <w:r w:rsidRPr="00793447">
        <w:rPr>
          <w:rFonts w:asciiTheme="majorHAnsi" w:hAnsiTheme="majorHAnsi" w:cs="Arial"/>
          <w:b/>
          <w:sz w:val="24"/>
          <w:szCs w:val="24"/>
          <w:shd w:val="clear" w:color="auto" w:fill="FFFFFF"/>
        </w:rPr>
        <w:t>, după cauza principală de deces</w:t>
      </w:r>
      <w:r w:rsidRPr="00793447">
        <w:rPr>
          <w:rFonts w:asciiTheme="majorHAnsi" w:hAnsiTheme="majorHAnsi" w:cs="Arial"/>
          <w:sz w:val="24"/>
          <w:szCs w:val="24"/>
          <w:shd w:val="clear" w:color="auto" w:fill="FFFFFF"/>
        </w:rPr>
        <w:t xml:space="preserve">  </w:t>
      </w:r>
    </w:p>
    <w:p w:rsidR="00871D27" w:rsidRDefault="00871D27" w:rsidP="00871D27">
      <w:pPr>
        <w:autoSpaceDE w:val="0"/>
        <w:autoSpaceDN w:val="0"/>
        <w:adjustRightInd w:val="0"/>
        <w:spacing w:after="0" w:line="240" w:lineRule="auto"/>
        <w:ind w:firstLine="720"/>
        <w:jc w:val="center"/>
        <w:rPr>
          <w:rFonts w:asciiTheme="majorHAnsi" w:hAnsiTheme="majorHAnsi" w:cs="Arial"/>
          <w:sz w:val="24"/>
          <w:szCs w:val="24"/>
          <w:shd w:val="clear" w:color="auto" w:fill="FFFFFF"/>
        </w:rPr>
      </w:pPr>
    </w:p>
    <w:p w:rsidR="00650430" w:rsidRDefault="00650430" w:rsidP="00871D27">
      <w:pPr>
        <w:autoSpaceDE w:val="0"/>
        <w:autoSpaceDN w:val="0"/>
        <w:adjustRightInd w:val="0"/>
        <w:spacing w:after="0" w:line="240" w:lineRule="auto"/>
        <w:ind w:firstLine="720"/>
        <w:jc w:val="center"/>
        <w:rPr>
          <w:rFonts w:asciiTheme="majorHAnsi" w:hAnsiTheme="majorHAnsi" w:cs="Arial"/>
          <w:sz w:val="24"/>
          <w:szCs w:val="24"/>
          <w:shd w:val="clear" w:color="auto" w:fill="FFFFFF"/>
        </w:rPr>
      </w:pPr>
    </w:p>
    <w:p w:rsidR="00650430" w:rsidRPr="00793447" w:rsidRDefault="00650430" w:rsidP="00871D27">
      <w:pPr>
        <w:autoSpaceDE w:val="0"/>
        <w:autoSpaceDN w:val="0"/>
        <w:adjustRightInd w:val="0"/>
        <w:spacing w:after="0" w:line="240" w:lineRule="auto"/>
        <w:ind w:firstLine="720"/>
        <w:jc w:val="center"/>
        <w:rPr>
          <w:rFonts w:asciiTheme="majorHAnsi" w:hAnsiTheme="majorHAnsi" w:cs="Arial"/>
          <w:sz w:val="24"/>
          <w:szCs w:val="24"/>
          <w:shd w:val="clear" w:color="auto" w:fill="FFFFFF"/>
        </w:rPr>
      </w:pPr>
    </w:p>
    <w:p w:rsidR="00633CB6" w:rsidRPr="00793447" w:rsidRDefault="00633CB6" w:rsidP="00871D27">
      <w:pPr>
        <w:autoSpaceDE w:val="0"/>
        <w:autoSpaceDN w:val="0"/>
        <w:adjustRightInd w:val="0"/>
        <w:spacing w:after="0" w:line="240" w:lineRule="auto"/>
        <w:ind w:firstLine="720"/>
        <w:jc w:val="center"/>
        <w:rPr>
          <w:rFonts w:asciiTheme="majorHAnsi" w:hAnsiTheme="majorHAnsi" w:cs="Arial"/>
          <w:sz w:val="24"/>
          <w:szCs w:val="24"/>
          <w:shd w:val="clear" w:color="auto" w:fill="FFFFFF"/>
        </w:rPr>
      </w:pPr>
    </w:p>
    <w:p w:rsidR="000362E8" w:rsidRPr="00793447" w:rsidRDefault="00633CB6" w:rsidP="000362E8">
      <w:pPr>
        <w:spacing w:after="0" w:line="240" w:lineRule="auto"/>
        <w:jc w:val="both"/>
        <w:rPr>
          <w:rFonts w:asciiTheme="majorHAnsi" w:eastAsia="Calibri" w:hAnsiTheme="majorHAnsi"/>
          <w:color w:val="FF0000"/>
          <w:sz w:val="24"/>
          <w:szCs w:val="24"/>
        </w:rPr>
      </w:pPr>
      <w:r w:rsidRPr="00793447">
        <w:rPr>
          <w:rFonts w:asciiTheme="majorHAnsi" w:eastAsia="Calibri" w:hAnsiTheme="majorHAnsi"/>
          <w:noProof/>
          <w:color w:val="FF0000"/>
          <w:sz w:val="24"/>
          <w:szCs w:val="24"/>
        </w:rPr>
        <w:drawing>
          <wp:anchor distT="0" distB="0" distL="114300" distR="114300" simplePos="0" relativeHeight="251675648" behindDoc="1" locked="0" layoutInCell="1" allowOverlap="1" wp14:anchorId="0BA0A067" wp14:editId="2C365678">
            <wp:simplePos x="0" y="0"/>
            <wp:positionH relativeFrom="column">
              <wp:posOffset>377190</wp:posOffset>
            </wp:positionH>
            <wp:positionV relativeFrom="paragraph">
              <wp:posOffset>50800</wp:posOffset>
            </wp:positionV>
            <wp:extent cx="2811145" cy="3343275"/>
            <wp:effectExtent l="0" t="0" r="8255" b="0"/>
            <wp:wrapTight wrapText="bothSides">
              <wp:wrapPolygon edited="0">
                <wp:start x="6294" y="615"/>
                <wp:lineTo x="6294" y="1231"/>
                <wp:lineTo x="9953" y="2831"/>
                <wp:lineTo x="10832" y="2831"/>
                <wp:lineTo x="1317" y="4185"/>
                <wp:lineTo x="1025" y="4800"/>
                <wp:lineTo x="732" y="6154"/>
                <wp:lineTo x="3220" y="6769"/>
                <wp:lineTo x="2635" y="9600"/>
                <wp:lineTo x="2342" y="10462"/>
                <wp:lineTo x="2342" y="11446"/>
                <wp:lineTo x="2635" y="12677"/>
                <wp:lineTo x="2927" y="13169"/>
                <wp:lineTo x="7172" y="14646"/>
                <wp:lineTo x="8490" y="14646"/>
                <wp:lineTo x="3074" y="16615"/>
                <wp:lineTo x="3074" y="17477"/>
                <wp:lineTo x="9953" y="18585"/>
                <wp:lineTo x="9953" y="19200"/>
                <wp:lineTo x="11564" y="19200"/>
                <wp:lineTo x="16979" y="18708"/>
                <wp:lineTo x="17419" y="17231"/>
                <wp:lineTo x="16979" y="16615"/>
                <wp:lineTo x="20492" y="16615"/>
                <wp:lineTo x="21517" y="16123"/>
                <wp:lineTo x="21517" y="13538"/>
                <wp:lineTo x="20932" y="13169"/>
                <wp:lineTo x="18736" y="12677"/>
                <wp:lineTo x="19907" y="12185"/>
                <wp:lineTo x="21224" y="11077"/>
                <wp:lineTo x="20932" y="10708"/>
                <wp:lineTo x="21517" y="10215"/>
                <wp:lineTo x="21224" y="9477"/>
                <wp:lineTo x="18590" y="8738"/>
                <wp:lineTo x="17858" y="6769"/>
                <wp:lineTo x="19761" y="4800"/>
                <wp:lineTo x="20053" y="4062"/>
                <wp:lineTo x="10832" y="2831"/>
                <wp:lineTo x="11417" y="2831"/>
                <wp:lineTo x="13613" y="1231"/>
                <wp:lineTo x="13466" y="615"/>
                <wp:lineTo x="6294" y="615"/>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793447">
        <w:rPr>
          <w:rFonts w:asciiTheme="majorHAnsi" w:eastAsia="Calibri" w:hAnsiTheme="majorHAnsi"/>
          <w:noProof/>
          <w:color w:val="FF0000"/>
          <w:sz w:val="24"/>
          <w:szCs w:val="24"/>
        </w:rPr>
        <w:drawing>
          <wp:inline distT="0" distB="0" distL="0" distR="0" wp14:anchorId="6B7D4570" wp14:editId="3FDDD3D2">
            <wp:extent cx="3066491" cy="3343275"/>
            <wp:effectExtent l="0" t="0" r="63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62E8" w:rsidRPr="00793447" w:rsidRDefault="000362E8" w:rsidP="000362E8">
      <w:pPr>
        <w:spacing w:after="0" w:line="240" w:lineRule="auto"/>
        <w:ind w:firstLine="720"/>
        <w:jc w:val="right"/>
        <w:rPr>
          <w:rFonts w:asciiTheme="majorHAnsi" w:eastAsia="Calibri" w:hAnsiTheme="majorHAnsi"/>
          <w:color w:val="FF0000"/>
          <w:sz w:val="24"/>
          <w:szCs w:val="24"/>
        </w:rPr>
        <w:sectPr w:rsidR="000362E8" w:rsidRPr="00793447" w:rsidSect="00E469EC">
          <w:footnotePr>
            <w:pos w:val="beneathText"/>
          </w:footnotePr>
          <w:type w:val="continuous"/>
          <w:pgSz w:w="11907" w:h="16840" w:code="9"/>
          <w:pgMar w:top="1134" w:right="708" w:bottom="1134" w:left="1134" w:header="567" w:footer="170" w:gutter="0"/>
          <w:cols w:space="708"/>
          <w:titlePg/>
          <w:docGrid w:linePitch="326"/>
        </w:sectPr>
      </w:pPr>
    </w:p>
    <w:p w:rsidR="00633CB6" w:rsidRPr="00793447" w:rsidRDefault="00633CB6" w:rsidP="00633CB6">
      <w:pPr>
        <w:spacing w:after="0" w:line="240" w:lineRule="auto"/>
        <w:jc w:val="both"/>
        <w:rPr>
          <w:rFonts w:asciiTheme="majorHAnsi" w:hAnsiTheme="majorHAnsi"/>
          <w:sz w:val="24"/>
          <w:szCs w:val="24"/>
        </w:rPr>
      </w:pPr>
      <w:r w:rsidRPr="00793447">
        <w:rPr>
          <w:rFonts w:asciiTheme="majorHAnsi" w:eastAsia="Calibri" w:hAnsiTheme="majorHAnsi"/>
          <w:sz w:val="24"/>
          <w:szCs w:val="24"/>
        </w:rPr>
        <w:t xml:space="preserve">          În semestrul I 2023, faţă de semestrul I 2022, ponderea deceselor cauzate de bolile aparatului circulator a </w:t>
      </w:r>
      <w:r w:rsidRPr="00793447">
        <w:rPr>
          <w:rFonts w:asciiTheme="majorHAnsi" w:eastAsia="Calibri" w:hAnsiTheme="majorHAnsi"/>
          <w:sz w:val="24"/>
          <w:szCs w:val="24"/>
          <w:lang w:val="ro-RO"/>
        </w:rPr>
        <w:t xml:space="preserve">rămas la același nivel (54,4%), însă a </w:t>
      </w:r>
      <w:r w:rsidRPr="00793447">
        <w:rPr>
          <w:rFonts w:asciiTheme="majorHAnsi" w:eastAsia="Calibri" w:hAnsiTheme="majorHAnsi"/>
          <w:sz w:val="24"/>
          <w:szCs w:val="24"/>
        </w:rPr>
        <w:t>crescut ponderea deceselor cauzate de tumori (de la 13,2% în semestrul I 2022, la 16,3% în semestrul I 2023 din numărul total al deceselor) şi s-a diminuat ponderea bolilor aparatului respirator (de la 14,7% în semestrul I 2022, la 11,1% în semestrul I 2023 din numărul total al deceselor).</w:t>
      </w:r>
    </w:p>
    <w:p w:rsidR="00633CB6" w:rsidRPr="00793447" w:rsidRDefault="00633CB6" w:rsidP="00633CB6">
      <w:pPr>
        <w:spacing w:after="0" w:line="240" w:lineRule="auto"/>
        <w:jc w:val="both"/>
        <w:rPr>
          <w:rFonts w:asciiTheme="majorHAnsi" w:eastAsia="Calibri" w:hAnsiTheme="majorHAnsi"/>
          <w:color w:val="FF0000"/>
          <w:sz w:val="24"/>
          <w:szCs w:val="24"/>
        </w:rPr>
      </w:pPr>
      <w:r w:rsidRPr="00793447">
        <w:rPr>
          <w:rFonts w:asciiTheme="majorHAnsi" w:eastAsia="Calibri" w:hAnsiTheme="majorHAnsi"/>
          <w:sz w:val="24"/>
          <w:szCs w:val="24"/>
        </w:rPr>
        <w:t xml:space="preserve">         Peste jumătate dintre decesele înregistrate în semestrul I 2023 au fost în rândul persoanelor în vârstă de 75 ani şi peste (2846 persoane, cu 599 persoane mai puține decât în semestrul I al anului precedent). </w:t>
      </w:r>
    </w:p>
    <w:p w:rsidR="00633CB6" w:rsidRPr="00793447" w:rsidRDefault="00633CB6" w:rsidP="00633CB6">
      <w:pPr>
        <w:spacing w:after="0" w:line="240" w:lineRule="auto"/>
        <w:ind w:firstLine="426"/>
        <w:jc w:val="both"/>
        <w:rPr>
          <w:rFonts w:asciiTheme="majorHAnsi" w:eastAsia="Calibri" w:hAnsiTheme="majorHAnsi"/>
          <w:sz w:val="24"/>
          <w:szCs w:val="24"/>
        </w:rPr>
      </w:pPr>
      <w:r w:rsidRPr="00793447">
        <w:rPr>
          <w:rFonts w:asciiTheme="majorHAnsi" w:eastAsia="Calibri" w:hAnsiTheme="majorHAnsi"/>
          <w:sz w:val="24"/>
          <w:szCs w:val="24"/>
        </w:rPr>
        <w:t>Numărul persoanelor decedate în rândul copiilor şi tinerilor cu vârsta până la 24 ani cre</w:t>
      </w:r>
      <w:r w:rsidRPr="00793447">
        <w:rPr>
          <w:rFonts w:asciiTheme="majorHAnsi" w:eastAsia="Calibri" w:hAnsiTheme="majorHAnsi"/>
          <w:sz w:val="24"/>
          <w:szCs w:val="24"/>
          <w:lang w:val="ro-RO"/>
        </w:rPr>
        <w:t>ște</w:t>
      </w:r>
      <w:r w:rsidRPr="00793447">
        <w:rPr>
          <w:rFonts w:asciiTheme="majorHAnsi" w:eastAsia="Calibri" w:hAnsiTheme="majorHAnsi"/>
          <w:sz w:val="24"/>
          <w:szCs w:val="24"/>
        </w:rPr>
        <w:t xml:space="preserve"> în semestrul I 2023</w:t>
      </w:r>
      <w:r w:rsidR="00650430">
        <w:rPr>
          <w:rFonts w:asciiTheme="majorHAnsi" w:eastAsia="Calibri" w:hAnsiTheme="majorHAnsi"/>
          <w:sz w:val="24"/>
          <w:szCs w:val="24"/>
        </w:rPr>
        <w:t xml:space="preserve"> cu 2 persoane</w:t>
      </w:r>
      <w:r w:rsidRPr="00793447">
        <w:rPr>
          <w:rFonts w:asciiTheme="majorHAnsi" w:eastAsia="Calibri" w:hAnsiTheme="majorHAnsi"/>
          <w:sz w:val="24"/>
          <w:szCs w:val="24"/>
        </w:rPr>
        <w:t xml:space="preserve">, comparativ cu semestrul I 2022, cea mai semnificativă creștere fiind înregistrată la grupa de vârstă 0-4 ani (5 persoane). </w:t>
      </w:r>
    </w:p>
    <w:p w:rsidR="00633CB6" w:rsidRPr="00793447" w:rsidRDefault="00633CB6" w:rsidP="00633CB6">
      <w:pPr>
        <w:spacing w:after="0" w:line="240" w:lineRule="auto"/>
        <w:ind w:firstLine="426"/>
        <w:jc w:val="both"/>
        <w:rPr>
          <w:rFonts w:asciiTheme="majorHAnsi" w:eastAsia="Calibri" w:hAnsiTheme="majorHAnsi"/>
          <w:sz w:val="24"/>
          <w:szCs w:val="24"/>
        </w:rPr>
      </w:pPr>
      <w:r w:rsidRPr="00793447">
        <w:rPr>
          <w:rFonts w:asciiTheme="majorHAnsi" w:eastAsia="Calibri" w:hAnsiTheme="majorHAnsi"/>
          <w:sz w:val="24"/>
          <w:szCs w:val="24"/>
        </w:rPr>
        <w:t>Valorile absolute înregistrate în semestrul I 2023 ale numărului decedaţilor din primii ani de viaţă se menţin ridicate pentru grupa de vârstă 0-4 ani (+50% față de semestrul I 2022).</w:t>
      </w:r>
    </w:p>
    <w:p w:rsidR="00633CB6" w:rsidRPr="00793447" w:rsidRDefault="00633CB6" w:rsidP="00633CB6">
      <w:pPr>
        <w:spacing w:after="0"/>
        <w:ind w:firstLine="426"/>
        <w:jc w:val="both"/>
        <w:rPr>
          <w:rFonts w:asciiTheme="majorHAnsi" w:hAnsiTheme="majorHAnsi"/>
          <w:sz w:val="24"/>
          <w:szCs w:val="24"/>
          <w:lang w:val="pt-BR"/>
        </w:rPr>
      </w:pPr>
      <w:r w:rsidRPr="00793447">
        <w:rPr>
          <w:rFonts w:asciiTheme="majorHAnsi" w:hAnsiTheme="majorHAnsi"/>
          <w:sz w:val="24"/>
          <w:szCs w:val="24"/>
          <w:lang w:val="pt-BR"/>
        </w:rPr>
        <w:t>Rata mortalităţii infantile este un indicator de bază privind bunăstarea unei naţiuni, funcţionând ca un fel de barometru-reper al nivelului de dezvoltare.</w:t>
      </w:r>
    </w:p>
    <w:p w:rsidR="00871D27" w:rsidRPr="00793447" w:rsidRDefault="00871D27" w:rsidP="00871D27">
      <w:pPr>
        <w:spacing w:after="0" w:line="240" w:lineRule="auto"/>
        <w:jc w:val="both"/>
        <w:rPr>
          <w:rFonts w:asciiTheme="majorHAnsi" w:hAnsiTheme="majorHAnsi"/>
          <w:sz w:val="24"/>
          <w:szCs w:val="24"/>
        </w:rPr>
      </w:pPr>
    </w:p>
    <w:p w:rsidR="00650430" w:rsidRDefault="00650430" w:rsidP="00871D27">
      <w:pPr>
        <w:spacing w:after="0" w:line="240" w:lineRule="auto"/>
        <w:jc w:val="center"/>
        <w:rPr>
          <w:rFonts w:asciiTheme="majorHAnsi" w:hAnsiTheme="majorHAnsi"/>
          <w:b/>
          <w:sz w:val="24"/>
          <w:szCs w:val="24"/>
        </w:rPr>
      </w:pPr>
    </w:p>
    <w:p w:rsidR="00650430" w:rsidRDefault="00650430" w:rsidP="00871D27">
      <w:pPr>
        <w:spacing w:after="0" w:line="240" w:lineRule="auto"/>
        <w:jc w:val="center"/>
        <w:rPr>
          <w:rFonts w:asciiTheme="majorHAnsi" w:hAnsiTheme="majorHAnsi"/>
          <w:b/>
          <w:sz w:val="24"/>
          <w:szCs w:val="24"/>
        </w:rPr>
      </w:pPr>
    </w:p>
    <w:p w:rsidR="00650430" w:rsidRDefault="00650430" w:rsidP="00871D27">
      <w:pPr>
        <w:spacing w:after="0" w:line="240" w:lineRule="auto"/>
        <w:jc w:val="center"/>
        <w:rPr>
          <w:rFonts w:asciiTheme="majorHAnsi" w:hAnsiTheme="majorHAnsi"/>
          <w:b/>
          <w:sz w:val="24"/>
          <w:szCs w:val="24"/>
        </w:rPr>
      </w:pPr>
    </w:p>
    <w:p w:rsidR="00650430" w:rsidRDefault="00650430" w:rsidP="00871D27">
      <w:pPr>
        <w:spacing w:after="0" w:line="240" w:lineRule="auto"/>
        <w:jc w:val="center"/>
        <w:rPr>
          <w:rFonts w:asciiTheme="majorHAnsi" w:hAnsiTheme="majorHAnsi"/>
          <w:b/>
          <w:sz w:val="24"/>
          <w:szCs w:val="24"/>
        </w:rPr>
      </w:pPr>
    </w:p>
    <w:p w:rsidR="00650430" w:rsidRDefault="00650430" w:rsidP="00871D27">
      <w:pPr>
        <w:spacing w:after="0" w:line="240" w:lineRule="auto"/>
        <w:jc w:val="center"/>
        <w:rPr>
          <w:rFonts w:asciiTheme="majorHAnsi" w:hAnsiTheme="majorHAnsi"/>
          <w:b/>
          <w:sz w:val="24"/>
          <w:szCs w:val="24"/>
        </w:rPr>
      </w:pPr>
    </w:p>
    <w:p w:rsidR="00650430" w:rsidRDefault="00650430" w:rsidP="00871D27">
      <w:pPr>
        <w:spacing w:after="0" w:line="240" w:lineRule="auto"/>
        <w:jc w:val="center"/>
        <w:rPr>
          <w:rFonts w:asciiTheme="majorHAnsi" w:hAnsiTheme="majorHAnsi"/>
          <w:b/>
          <w:sz w:val="24"/>
          <w:szCs w:val="24"/>
        </w:rPr>
      </w:pPr>
    </w:p>
    <w:p w:rsidR="00871D27" w:rsidRPr="00793447" w:rsidRDefault="00871D27" w:rsidP="00871D27">
      <w:pPr>
        <w:spacing w:after="0" w:line="240" w:lineRule="auto"/>
        <w:jc w:val="center"/>
        <w:rPr>
          <w:rFonts w:asciiTheme="majorHAnsi" w:hAnsiTheme="majorHAnsi"/>
          <w:b/>
          <w:sz w:val="24"/>
          <w:szCs w:val="24"/>
        </w:rPr>
      </w:pPr>
      <w:r w:rsidRPr="00793447">
        <w:rPr>
          <w:rFonts w:asciiTheme="majorHAnsi" w:hAnsiTheme="majorHAnsi"/>
          <w:b/>
          <w:sz w:val="24"/>
          <w:szCs w:val="24"/>
        </w:rPr>
        <w:t>Evoluția ratei mortalității infantile</w:t>
      </w:r>
    </w:p>
    <w:p w:rsidR="00871D27" w:rsidRPr="00793447" w:rsidRDefault="00871D27" w:rsidP="00871D27">
      <w:pPr>
        <w:jc w:val="center"/>
        <w:rPr>
          <w:rFonts w:asciiTheme="majorHAnsi" w:hAnsiTheme="majorHAnsi" w:cs="Arial"/>
          <w:b/>
          <w:sz w:val="24"/>
          <w:szCs w:val="24"/>
        </w:rPr>
      </w:pPr>
      <w:r w:rsidRPr="00793447">
        <w:rPr>
          <w:rFonts w:asciiTheme="majorHAnsi" w:hAnsiTheme="majorHAnsi" w:cs="Arial"/>
          <w:noProof/>
          <w:sz w:val="24"/>
          <w:szCs w:val="24"/>
        </w:rPr>
        <w:drawing>
          <wp:inline distT="0" distB="0" distL="0" distR="0" wp14:anchorId="42856C2E" wp14:editId="1393F349">
            <wp:extent cx="6120765" cy="2042555"/>
            <wp:effectExtent l="0" t="0" r="0" b="0"/>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0430" w:rsidRDefault="00650430" w:rsidP="00871D27">
      <w:pPr>
        <w:autoSpaceDE w:val="0"/>
        <w:autoSpaceDN w:val="0"/>
        <w:adjustRightInd w:val="0"/>
        <w:spacing w:after="0" w:line="240" w:lineRule="auto"/>
        <w:ind w:firstLine="720"/>
        <w:jc w:val="both"/>
        <w:rPr>
          <w:rFonts w:asciiTheme="majorHAnsi" w:hAnsiTheme="majorHAnsi" w:cs="Arial"/>
          <w:sz w:val="24"/>
          <w:szCs w:val="24"/>
          <w:shd w:val="clear" w:color="auto" w:fill="FFFFFF"/>
        </w:rPr>
      </w:pPr>
    </w:p>
    <w:p w:rsidR="00871D27" w:rsidRPr="00650430" w:rsidRDefault="00871D27" w:rsidP="00871D27">
      <w:pPr>
        <w:autoSpaceDE w:val="0"/>
        <w:autoSpaceDN w:val="0"/>
        <w:adjustRightInd w:val="0"/>
        <w:spacing w:after="0" w:line="240" w:lineRule="auto"/>
        <w:ind w:firstLine="720"/>
        <w:jc w:val="both"/>
        <w:rPr>
          <w:rFonts w:asciiTheme="majorHAnsi" w:hAnsiTheme="majorHAnsi" w:cs="Arial"/>
          <w:sz w:val="24"/>
          <w:szCs w:val="24"/>
          <w:shd w:val="clear" w:color="auto" w:fill="FFFFFF"/>
        </w:rPr>
      </w:pPr>
      <w:r w:rsidRPr="00650430">
        <w:rPr>
          <w:rFonts w:asciiTheme="majorHAnsi" w:hAnsiTheme="majorHAnsi" w:cs="Arial"/>
          <w:sz w:val="24"/>
          <w:szCs w:val="24"/>
          <w:shd w:val="clear" w:color="auto" w:fill="FFFFFF"/>
        </w:rPr>
        <w:t>Familia continuă să fie un element esenţial în viaţa individului, căsătoria oficială încă reprezentând un mijloc de întemeiere a unei familii, uniunea consensuală nefiind la fel de răspândită ca în alte state membre ale Uniunii Europene.  Pe de altă parte, oamenii se căsătoresc la vârste mai înaintate, după ce procesul de instruire este complet, când sunt integraţi pe piaţa muncii şi au resursele materiale necesare pentru un trai decent în cuplu.</w:t>
      </w:r>
    </w:p>
    <w:p w:rsidR="00871D27" w:rsidRPr="00793447" w:rsidRDefault="00871D27" w:rsidP="00871D27">
      <w:pPr>
        <w:spacing w:after="0" w:line="240" w:lineRule="auto"/>
        <w:ind w:firstLine="720"/>
        <w:jc w:val="both"/>
        <w:rPr>
          <w:rFonts w:asciiTheme="majorHAnsi" w:hAnsiTheme="majorHAnsi"/>
          <w:sz w:val="24"/>
          <w:szCs w:val="24"/>
        </w:rPr>
      </w:pPr>
      <w:r w:rsidRPr="00650430">
        <w:rPr>
          <w:rFonts w:asciiTheme="majorHAnsi" w:hAnsiTheme="majorHAnsi"/>
          <w:sz w:val="24"/>
          <w:szCs w:val="24"/>
        </w:rPr>
        <w:t>O particularitate a căsătoriilor o reprezintă sezonalitatea fenomenului nupţialităţii. Căsătoria, un act laic, este puternic influenţată de observanţa religioasă. În graficul de mai jos se observă sezonalitatea fenomenului de nupţialitate.</w:t>
      </w:r>
    </w:p>
    <w:p w:rsidR="00871D27" w:rsidRPr="00793447" w:rsidRDefault="00871D27" w:rsidP="00871D27">
      <w:pPr>
        <w:autoSpaceDE w:val="0"/>
        <w:autoSpaceDN w:val="0"/>
        <w:adjustRightInd w:val="0"/>
        <w:spacing w:after="0" w:line="240" w:lineRule="auto"/>
        <w:jc w:val="center"/>
        <w:rPr>
          <w:rFonts w:asciiTheme="majorHAnsi" w:hAnsiTheme="majorHAnsi" w:cs="Arial"/>
          <w:sz w:val="24"/>
          <w:szCs w:val="24"/>
        </w:rPr>
      </w:pPr>
      <w:r w:rsidRPr="00793447">
        <w:rPr>
          <w:rFonts w:asciiTheme="majorHAnsi" w:hAnsiTheme="majorHAnsi" w:cs="Arial"/>
          <w:b/>
          <w:bCs/>
          <w:noProof/>
          <w:sz w:val="24"/>
          <w:szCs w:val="24"/>
        </w:rPr>
        <w:drawing>
          <wp:inline distT="0" distB="0" distL="0" distR="0" wp14:anchorId="2DE8F171" wp14:editId="5C833F2F">
            <wp:extent cx="5852160" cy="2636322"/>
            <wp:effectExtent l="0" t="0" r="0" b="0"/>
            <wp:docPr id="33" name="Char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1D27" w:rsidRPr="00793447" w:rsidRDefault="00871D27" w:rsidP="00871D27">
      <w:pPr>
        <w:spacing w:after="0" w:line="240" w:lineRule="auto"/>
        <w:jc w:val="center"/>
        <w:rPr>
          <w:rFonts w:asciiTheme="majorHAnsi" w:hAnsiTheme="majorHAnsi"/>
          <w:color w:val="FF0000"/>
          <w:sz w:val="24"/>
          <w:szCs w:val="24"/>
        </w:rPr>
      </w:pPr>
    </w:p>
    <w:p w:rsidR="00871D27" w:rsidRPr="00793447" w:rsidRDefault="00871D27" w:rsidP="00871D27">
      <w:pPr>
        <w:spacing w:after="0" w:line="240" w:lineRule="auto"/>
        <w:ind w:firstLine="720"/>
        <w:jc w:val="both"/>
        <w:rPr>
          <w:rFonts w:asciiTheme="majorHAnsi" w:hAnsiTheme="majorHAnsi"/>
          <w:sz w:val="24"/>
          <w:szCs w:val="24"/>
        </w:rPr>
      </w:pPr>
      <w:r w:rsidRPr="00793447">
        <w:rPr>
          <w:rFonts w:asciiTheme="majorHAnsi" w:hAnsiTheme="majorHAnsi"/>
          <w:sz w:val="24"/>
          <w:szCs w:val="24"/>
        </w:rPr>
        <w:t>Raportul dintre numărul căsătoriilor încheiate şi cel al divorţurilor pronunţate prin hotărâre judecătorească definitivă sau pe cale administrativă, a fost de 4,7 căsătorii la un divorţ, în semestrul I 2023.</w:t>
      </w:r>
    </w:p>
    <w:p w:rsidR="00871D27" w:rsidRPr="00793447" w:rsidRDefault="00871D27" w:rsidP="00871D27">
      <w:pPr>
        <w:autoSpaceDE w:val="0"/>
        <w:autoSpaceDN w:val="0"/>
        <w:adjustRightInd w:val="0"/>
        <w:spacing w:after="0" w:line="240" w:lineRule="auto"/>
        <w:jc w:val="center"/>
        <w:rPr>
          <w:rFonts w:asciiTheme="majorHAnsi" w:hAnsiTheme="majorHAnsi" w:cs="Arial"/>
          <w:b/>
          <w:caps/>
          <w:color w:val="FF0000"/>
          <w:sz w:val="24"/>
          <w:szCs w:val="24"/>
        </w:rPr>
      </w:pPr>
    </w:p>
    <w:p w:rsidR="00650430" w:rsidRDefault="00650430" w:rsidP="00871D27">
      <w:pPr>
        <w:autoSpaceDE w:val="0"/>
        <w:autoSpaceDN w:val="0"/>
        <w:adjustRightInd w:val="0"/>
        <w:spacing w:after="0" w:line="240" w:lineRule="auto"/>
        <w:jc w:val="both"/>
        <w:rPr>
          <w:rFonts w:asciiTheme="majorHAnsi" w:hAnsiTheme="majorHAnsi" w:cs="Cambria-BoldItalic CE"/>
          <w:b/>
          <w:bCs/>
          <w:iCs/>
          <w:sz w:val="24"/>
          <w:szCs w:val="24"/>
          <w:lang w:val="pt-BR"/>
        </w:rPr>
      </w:pPr>
    </w:p>
    <w:p w:rsidR="00E469EC" w:rsidRDefault="00E469EC" w:rsidP="00871D27">
      <w:pPr>
        <w:autoSpaceDE w:val="0"/>
        <w:autoSpaceDN w:val="0"/>
        <w:adjustRightInd w:val="0"/>
        <w:spacing w:after="0" w:line="240" w:lineRule="auto"/>
        <w:jc w:val="both"/>
        <w:rPr>
          <w:rFonts w:asciiTheme="majorHAnsi" w:hAnsiTheme="majorHAnsi" w:cs="Cambria-BoldItalic CE"/>
          <w:b/>
          <w:bCs/>
          <w:iCs/>
          <w:sz w:val="24"/>
          <w:szCs w:val="24"/>
          <w:lang w:val="pt-BR"/>
        </w:rPr>
      </w:pPr>
    </w:p>
    <w:p w:rsidR="00650430" w:rsidRDefault="00650430" w:rsidP="00871D27">
      <w:pPr>
        <w:autoSpaceDE w:val="0"/>
        <w:autoSpaceDN w:val="0"/>
        <w:adjustRightInd w:val="0"/>
        <w:spacing w:after="0" w:line="240" w:lineRule="auto"/>
        <w:jc w:val="both"/>
        <w:rPr>
          <w:rFonts w:asciiTheme="majorHAnsi" w:hAnsiTheme="majorHAnsi" w:cs="Cambria-BoldItalic CE"/>
          <w:b/>
          <w:bCs/>
          <w:iCs/>
          <w:sz w:val="24"/>
          <w:szCs w:val="24"/>
          <w:lang w:val="pt-BR"/>
        </w:rPr>
      </w:pPr>
    </w:p>
    <w:p w:rsidR="00650430" w:rsidRDefault="00650430" w:rsidP="00871D27">
      <w:pPr>
        <w:autoSpaceDE w:val="0"/>
        <w:autoSpaceDN w:val="0"/>
        <w:adjustRightInd w:val="0"/>
        <w:spacing w:after="0" w:line="240" w:lineRule="auto"/>
        <w:jc w:val="both"/>
        <w:rPr>
          <w:rFonts w:asciiTheme="majorHAnsi" w:hAnsiTheme="majorHAnsi" w:cs="Cambria-BoldItalic CE"/>
          <w:b/>
          <w:bCs/>
          <w:iCs/>
          <w:sz w:val="24"/>
          <w:szCs w:val="24"/>
          <w:lang w:val="pt-BR"/>
        </w:rPr>
      </w:pPr>
    </w:p>
    <w:p w:rsidR="00650430" w:rsidRDefault="00650430" w:rsidP="00871D27">
      <w:pPr>
        <w:autoSpaceDE w:val="0"/>
        <w:autoSpaceDN w:val="0"/>
        <w:adjustRightInd w:val="0"/>
        <w:spacing w:after="0" w:line="240" w:lineRule="auto"/>
        <w:jc w:val="both"/>
        <w:rPr>
          <w:rFonts w:asciiTheme="majorHAnsi" w:hAnsiTheme="majorHAnsi" w:cs="Cambria-BoldItalic CE"/>
          <w:b/>
          <w:bCs/>
          <w:iCs/>
          <w:sz w:val="24"/>
          <w:szCs w:val="24"/>
          <w:lang w:val="pt-BR"/>
        </w:rPr>
      </w:pPr>
    </w:p>
    <w:p w:rsidR="00871D27" w:rsidRPr="00793447" w:rsidRDefault="00871D27" w:rsidP="00871D27">
      <w:pPr>
        <w:autoSpaceDE w:val="0"/>
        <w:autoSpaceDN w:val="0"/>
        <w:adjustRightInd w:val="0"/>
        <w:spacing w:after="0" w:line="240" w:lineRule="auto"/>
        <w:jc w:val="both"/>
        <w:rPr>
          <w:rFonts w:asciiTheme="majorHAnsi" w:hAnsiTheme="majorHAnsi" w:cs="Cambria-BoldItalic"/>
          <w:b/>
          <w:bCs/>
          <w:iCs/>
          <w:sz w:val="24"/>
          <w:szCs w:val="24"/>
          <w:lang w:val="pt-BR"/>
        </w:rPr>
      </w:pPr>
      <w:r w:rsidRPr="00793447">
        <w:rPr>
          <w:rFonts w:asciiTheme="majorHAnsi" w:hAnsiTheme="majorHAnsi" w:cs="Cambria-BoldItalic CE"/>
          <w:b/>
          <w:bCs/>
          <w:iCs/>
          <w:sz w:val="24"/>
          <w:szCs w:val="24"/>
          <w:lang w:val="pt-BR"/>
        </w:rPr>
        <w:t xml:space="preserve">1.3. FORŢA DE MUNCĂ </w:t>
      </w:r>
    </w:p>
    <w:p w:rsidR="00871D27" w:rsidRPr="00793447" w:rsidRDefault="00871D27" w:rsidP="00871D27">
      <w:pPr>
        <w:autoSpaceDE w:val="0"/>
        <w:autoSpaceDN w:val="0"/>
        <w:adjustRightInd w:val="0"/>
        <w:spacing w:after="0" w:line="240" w:lineRule="auto"/>
        <w:jc w:val="both"/>
        <w:rPr>
          <w:rFonts w:asciiTheme="majorHAnsi" w:hAnsiTheme="majorHAnsi" w:cs="Arial"/>
          <w:bCs/>
          <w:color w:val="FF0000"/>
          <w:sz w:val="24"/>
          <w:szCs w:val="24"/>
          <w:lang w:val="pt-BR"/>
        </w:rPr>
      </w:pPr>
    </w:p>
    <w:p w:rsidR="00871D27" w:rsidRPr="00793447" w:rsidRDefault="00871D27" w:rsidP="00871D27">
      <w:pPr>
        <w:pStyle w:val="Default"/>
        <w:ind w:firstLine="426"/>
        <w:jc w:val="both"/>
        <w:rPr>
          <w:rFonts w:asciiTheme="majorHAnsi" w:hAnsiTheme="majorHAnsi" w:cs="Calibri"/>
          <w:b/>
          <w:i/>
          <w:color w:val="auto"/>
          <w:lang w:val="ro-RO"/>
        </w:rPr>
      </w:pPr>
      <w:r w:rsidRPr="00793447">
        <w:rPr>
          <w:rFonts w:asciiTheme="majorHAnsi" w:hAnsiTheme="majorHAnsi" w:cs="Calibri"/>
          <w:b/>
          <w:i/>
          <w:color w:val="auto"/>
          <w:lang w:val="ro-RO"/>
        </w:rPr>
        <w:t xml:space="preserve">Resursele de muncă la 1 ianuarie 2023 </w:t>
      </w:r>
    </w:p>
    <w:p w:rsidR="00871D27" w:rsidRPr="00793447" w:rsidRDefault="00871D27" w:rsidP="00871D27">
      <w:pPr>
        <w:autoSpaceDE w:val="0"/>
        <w:autoSpaceDN w:val="0"/>
        <w:adjustRightInd w:val="0"/>
        <w:spacing w:after="0" w:line="240" w:lineRule="auto"/>
        <w:jc w:val="both"/>
        <w:rPr>
          <w:rFonts w:asciiTheme="majorHAnsi" w:hAnsiTheme="majorHAnsi" w:cs="Arial"/>
          <w:bCs/>
          <w:sz w:val="24"/>
          <w:szCs w:val="24"/>
          <w:lang w:val="pt-BR"/>
        </w:rPr>
      </w:pPr>
    </w:p>
    <w:p w:rsidR="00871D27" w:rsidRPr="00793447" w:rsidRDefault="00871D27" w:rsidP="00871D27">
      <w:pPr>
        <w:pStyle w:val="Default"/>
        <w:ind w:firstLine="426"/>
        <w:jc w:val="both"/>
        <w:rPr>
          <w:rFonts w:asciiTheme="majorHAnsi" w:hAnsiTheme="majorHAnsi" w:cs="Calibri"/>
          <w:color w:val="auto"/>
          <w:lang w:val="ro-RO"/>
        </w:rPr>
      </w:pPr>
      <w:r w:rsidRPr="00793447">
        <w:rPr>
          <w:rFonts w:asciiTheme="majorHAnsi" w:hAnsiTheme="majorHAnsi" w:cs="Calibri"/>
          <w:color w:val="auto"/>
          <w:lang w:val="ro-RO"/>
        </w:rPr>
        <w:t>În raport cu sistemul economic populaţia are dublu rol,  populaţia totală este consumatoare de bunuri și servicii produse în economie, iar o parte din aceasta produce bunurile și serviciile din economie (forţa de muncă).</w:t>
      </w:r>
    </w:p>
    <w:p w:rsidR="00871D27" w:rsidRPr="00793447" w:rsidRDefault="00871D27" w:rsidP="00804050">
      <w:pPr>
        <w:pStyle w:val="Default"/>
        <w:ind w:firstLine="426"/>
        <w:jc w:val="both"/>
        <w:rPr>
          <w:rFonts w:asciiTheme="majorHAnsi" w:hAnsiTheme="majorHAnsi"/>
          <w:color w:val="FF0000"/>
        </w:rPr>
      </w:pPr>
      <w:r w:rsidRPr="00793447">
        <w:rPr>
          <w:rFonts w:asciiTheme="majorHAnsi" w:hAnsiTheme="majorHAnsi"/>
          <w:noProof/>
          <w:color w:val="FF0000"/>
        </w:rPr>
        <mc:AlternateContent>
          <mc:Choice Requires="wpc">
            <w:drawing>
              <wp:inline distT="0" distB="0" distL="0" distR="0" wp14:anchorId="321BE4B0" wp14:editId="7320FC04">
                <wp:extent cx="5486400" cy="3710305"/>
                <wp:effectExtent l="9525" t="0" r="9525" b="4445"/>
                <wp:docPr id="394" name="Canvas 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5" name="Text Box 387"/>
                        <wps:cNvSpPr txBox="1">
                          <a:spLocks noChangeArrowheads="1"/>
                        </wps:cNvSpPr>
                        <wps:spPr bwMode="auto">
                          <a:xfrm>
                            <a:off x="228600" y="342957"/>
                            <a:ext cx="4914900" cy="571101"/>
                          </a:xfrm>
                          <a:prstGeom prst="rect">
                            <a:avLst/>
                          </a:prstGeom>
                          <a:solidFill>
                            <a:srgbClr val="D9FFD9"/>
                          </a:solidFill>
                          <a:ln w="9525">
                            <a:solidFill>
                              <a:srgbClr val="000000"/>
                            </a:solidFill>
                            <a:miter lim="800000"/>
                            <a:headEnd/>
                            <a:tailEnd/>
                          </a:ln>
                        </wps:spPr>
                        <wps:txbx>
                          <w:txbxContent>
                            <w:p w:rsidR="00793447" w:rsidRPr="007731DF" w:rsidRDefault="00793447" w:rsidP="00871D27">
                              <w:pPr>
                                <w:spacing w:after="0" w:line="240" w:lineRule="auto"/>
                                <w:jc w:val="center"/>
                                <w:rPr>
                                  <w:rFonts w:ascii="Cambria" w:hAnsi="Cambria"/>
                                  <w:b/>
                                  <w:lang w:val="fr-FR"/>
                                </w:rPr>
                              </w:pPr>
                              <w:r w:rsidRPr="007731DF">
                                <w:rPr>
                                  <w:rFonts w:ascii="Cambria" w:hAnsi="Cambria"/>
                                  <w:b/>
                                  <w:lang w:val="fr-FR"/>
                                </w:rPr>
                                <w:t>RESURSE DE MUNCĂ</w:t>
                              </w:r>
                            </w:p>
                            <w:p w:rsidR="00793447" w:rsidRPr="007731DF" w:rsidRDefault="00793447" w:rsidP="00871D27">
                              <w:pPr>
                                <w:spacing w:after="0" w:line="240" w:lineRule="auto"/>
                                <w:jc w:val="center"/>
                                <w:rPr>
                                  <w:rFonts w:ascii="Cambria" w:hAnsi="Cambria"/>
                                  <w:b/>
                                  <w:bCs/>
                                  <w:color w:val="003399"/>
                                  <w:lang w:val="fr-FR"/>
                                </w:rPr>
                              </w:pPr>
                              <w:r w:rsidRPr="007731DF">
                                <w:rPr>
                                  <w:rFonts w:ascii="Cambria" w:hAnsi="Cambria" w:cs="Arial"/>
                                  <w:b/>
                                  <w:color w:val="003399"/>
                                </w:rPr>
                                <w:t xml:space="preserve"> </w:t>
                              </w:r>
                              <w:bookmarkStart w:id="1" w:name="_Hlk115250055"/>
                              <w:r>
                                <w:rPr>
                                  <w:rFonts w:ascii="Cambria" w:hAnsi="Cambria" w:cs="Arial"/>
                                  <w:b/>
                                  <w:color w:val="003399"/>
                                </w:rPr>
                                <w:t>419</w:t>
                              </w:r>
                              <w:r w:rsidRPr="007E3BA6">
                                <w:rPr>
                                  <w:rFonts w:ascii="Cambria" w:hAnsi="Cambria" w:cs="Arial"/>
                                  <w:b/>
                                  <w:color w:val="003399"/>
                                </w:rPr>
                                <w:t>,</w:t>
                              </w:r>
                              <w:r>
                                <w:rPr>
                                  <w:rFonts w:ascii="Cambria" w:hAnsi="Cambria" w:cs="Arial"/>
                                  <w:b/>
                                  <w:color w:val="003399"/>
                                </w:rPr>
                                <w:t xml:space="preserve">3 </w:t>
                              </w:r>
                              <w:bookmarkEnd w:id="1"/>
                              <w:r w:rsidRPr="007731DF">
                                <w:rPr>
                                  <w:rFonts w:ascii="Cambria" w:hAnsi="Cambria"/>
                                  <w:b/>
                                  <w:bCs/>
                                  <w:color w:val="003399"/>
                                  <w:lang w:val="fr-FR"/>
                                </w:rPr>
                                <w:t>mii persoane</w:t>
                              </w:r>
                            </w:p>
                            <w:p w:rsidR="00793447" w:rsidRDefault="00793447" w:rsidP="00871D27">
                              <w:pPr>
                                <w:jc w:val="center"/>
                                <w:rPr>
                                  <w:lang w:val="fr-FR"/>
                                </w:rPr>
                              </w:pPr>
                            </w:p>
                          </w:txbxContent>
                        </wps:txbx>
                        <wps:bodyPr rot="0" vert="horz" wrap="square" lIns="91440" tIns="45720" rIns="91440" bIns="45720" anchor="t" anchorCtr="0" upright="1">
                          <a:noAutofit/>
                        </wps:bodyPr>
                      </wps:wsp>
                      <wps:wsp>
                        <wps:cNvPr id="386" name="Text Box 388"/>
                        <wps:cNvSpPr txBox="1">
                          <a:spLocks noChangeArrowheads="1"/>
                        </wps:cNvSpPr>
                        <wps:spPr bwMode="auto">
                          <a:xfrm>
                            <a:off x="1143000" y="1542936"/>
                            <a:ext cx="2171700" cy="590360"/>
                          </a:xfrm>
                          <a:prstGeom prst="rect">
                            <a:avLst/>
                          </a:prstGeom>
                          <a:solidFill>
                            <a:srgbClr val="CCFFFF"/>
                          </a:solidFill>
                          <a:ln w="9525">
                            <a:solidFill>
                              <a:srgbClr val="000000"/>
                            </a:solidFill>
                            <a:miter lim="800000"/>
                            <a:headEnd/>
                            <a:tailEnd/>
                          </a:ln>
                        </wps:spPr>
                        <wps:txbx>
                          <w:txbxContent>
                            <w:p w:rsidR="00793447" w:rsidRPr="007731DF" w:rsidRDefault="00793447" w:rsidP="00871D27">
                              <w:pPr>
                                <w:spacing w:after="0" w:line="240" w:lineRule="auto"/>
                                <w:jc w:val="center"/>
                                <w:rPr>
                                  <w:rFonts w:ascii="Cambria" w:hAnsi="Cambria"/>
                                  <w:sz w:val="20"/>
                                  <w:szCs w:val="20"/>
                                </w:rPr>
                              </w:pPr>
                              <w:r w:rsidRPr="007731DF">
                                <w:rPr>
                                  <w:rFonts w:ascii="Cambria" w:hAnsi="Cambria"/>
                                  <w:sz w:val="20"/>
                                  <w:szCs w:val="20"/>
                                </w:rPr>
                                <w:t>POPULAŢIA ACTIVĂ CIVILĂ</w:t>
                              </w:r>
                            </w:p>
                            <w:p w:rsidR="00793447" w:rsidRPr="007731DF" w:rsidRDefault="00793447" w:rsidP="00871D27">
                              <w:pPr>
                                <w:spacing w:after="0" w:line="240" w:lineRule="auto"/>
                                <w:jc w:val="center"/>
                                <w:rPr>
                                  <w:rFonts w:ascii="Cambria" w:hAnsi="Cambria"/>
                                  <w:b/>
                                  <w:bCs/>
                                  <w:color w:val="003399"/>
                                  <w:sz w:val="20"/>
                                  <w:szCs w:val="20"/>
                                </w:rPr>
                              </w:pPr>
                              <w:r>
                                <w:rPr>
                                  <w:rFonts w:ascii="Cambria" w:hAnsi="Cambria" w:cs="Arial"/>
                                  <w:b/>
                                  <w:color w:val="003399"/>
                                  <w:sz w:val="20"/>
                                  <w:szCs w:val="20"/>
                                </w:rPr>
                                <w:t>273</w:t>
                              </w:r>
                              <w:r w:rsidRPr="007E3BA6">
                                <w:rPr>
                                  <w:rFonts w:ascii="Cambria" w:hAnsi="Cambria" w:cs="Arial"/>
                                  <w:b/>
                                  <w:color w:val="003399"/>
                                  <w:sz w:val="20"/>
                                  <w:szCs w:val="20"/>
                                </w:rPr>
                                <w:t>,</w:t>
                              </w:r>
                              <w:r>
                                <w:rPr>
                                  <w:rFonts w:ascii="Cambria" w:hAnsi="Cambria" w:cs="Arial"/>
                                  <w:b/>
                                  <w:color w:val="003399"/>
                                  <w:sz w:val="20"/>
                                  <w:szCs w:val="20"/>
                                </w:rPr>
                                <w:t xml:space="preserve">2 </w:t>
                              </w:r>
                              <w:r w:rsidRPr="007731DF">
                                <w:rPr>
                                  <w:rFonts w:ascii="Cambria" w:hAnsi="Cambria"/>
                                  <w:b/>
                                  <w:bCs/>
                                  <w:color w:val="003399"/>
                                  <w:sz w:val="20"/>
                                  <w:szCs w:val="20"/>
                                </w:rPr>
                                <w:t>mii persoane</w:t>
                              </w:r>
                            </w:p>
                          </w:txbxContent>
                        </wps:txbx>
                        <wps:bodyPr rot="0" vert="horz" wrap="square" lIns="91440" tIns="45720" rIns="91440" bIns="45720" anchor="t" anchorCtr="0" upright="1">
                          <a:noAutofit/>
                        </wps:bodyPr>
                      </wps:wsp>
                      <wps:wsp>
                        <wps:cNvPr id="387" name="Text Box 389"/>
                        <wps:cNvSpPr txBox="1">
                          <a:spLocks noChangeArrowheads="1"/>
                        </wps:cNvSpPr>
                        <wps:spPr bwMode="auto">
                          <a:xfrm>
                            <a:off x="1143000" y="2514030"/>
                            <a:ext cx="2171700" cy="914058"/>
                          </a:xfrm>
                          <a:prstGeom prst="rect">
                            <a:avLst/>
                          </a:prstGeom>
                          <a:solidFill>
                            <a:srgbClr val="CCFFFF"/>
                          </a:solidFill>
                          <a:ln w="9525">
                            <a:solidFill>
                              <a:srgbClr val="000000"/>
                            </a:solidFill>
                            <a:miter lim="800000"/>
                            <a:headEnd/>
                            <a:tailEnd/>
                          </a:ln>
                        </wps:spPr>
                        <wps:txbx>
                          <w:txbxContent>
                            <w:p w:rsidR="00793447" w:rsidRPr="007731DF" w:rsidRDefault="00793447" w:rsidP="00871D27">
                              <w:pPr>
                                <w:spacing w:after="0" w:line="240" w:lineRule="auto"/>
                                <w:jc w:val="center"/>
                                <w:rPr>
                                  <w:rFonts w:ascii="Cambria" w:hAnsi="Cambria"/>
                                  <w:sz w:val="20"/>
                                  <w:szCs w:val="20"/>
                                  <w:lang w:val="it-IT"/>
                                </w:rPr>
                              </w:pPr>
                              <w:r w:rsidRPr="007731DF">
                                <w:rPr>
                                  <w:rFonts w:ascii="Cambria" w:hAnsi="Cambria"/>
                                  <w:sz w:val="20"/>
                                  <w:szCs w:val="20"/>
                                  <w:lang w:val="it-IT"/>
                                </w:rPr>
                                <w:t>POPULAŢIA ÎN PREGĂTIRE PROFESIONALĂ ŞI ALTE CATEGORII DE POPULAŢIE ÎN VÂRSTĂ DE MUNCĂ</w:t>
                              </w:r>
                            </w:p>
                            <w:p w:rsidR="00793447" w:rsidRPr="007731DF" w:rsidRDefault="00793447" w:rsidP="00871D27">
                              <w:pPr>
                                <w:jc w:val="center"/>
                                <w:rPr>
                                  <w:rFonts w:ascii="Cambria" w:hAnsi="Cambria"/>
                                  <w:b/>
                                  <w:bCs/>
                                  <w:color w:val="003399"/>
                                  <w:sz w:val="20"/>
                                  <w:szCs w:val="20"/>
                                </w:rPr>
                              </w:pPr>
                              <w:r w:rsidRPr="007731DF">
                                <w:rPr>
                                  <w:rFonts w:ascii="Cambria" w:hAnsi="Cambria" w:cs="Arial"/>
                                  <w:b/>
                                  <w:color w:val="003399"/>
                                  <w:sz w:val="20"/>
                                  <w:szCs w:val="20"/>
                                </w:rPr>
                                <w:t xml:space="preserve"> </w:t>
                              </w:r>
                              <w:r>
                                <w:rPr>
                                  <w:rFonts w:ascii="Cambria" w:hAnsi="Cambria" w:cs="Arial"/>
                                  <w:b/>
                                  <w:color w:val="003399"/>
                                  <w:sz w:val="20"/>
                                  <w:szCs w:val="20"/>
                                </w:rPr>
                                <w:t>146</w:t>
                              </w:r>
                              <w:r w:rsidRPr="007E3BA6">
                                <w:rPr>
                                  <w:rFonts w:ascii="Cambria" w:hAnsi="Cambria" w:cs="Arial"/>
                                  <w:b/>
                                  <w:color w:val="003399"/>
                                  <w:sz w:val="20"/>
                                  <w:szCs w:val="20"/>
                                </w:rPr>
                                <w:t>,</w:t>
                              </w:r>
                              <w:r>
                                <w:rPr>
                                  <w:rFonts w:ascii="Cambria" w:hAnsi="Cambria" w:cs="Arial"/>
                                  <w:b/>
                                  <w:color w:val="003399"/>
                                  <w:sz w:val="20"/>
                                  <w:szCs w:val="20"/>
                                </w:rPr>
                                <w:t xml:space="preserve">1 </w:t>
                              </w:r>
                              <w:r w:rsidRPr="007731DF">
                                <w:rPr>
                                  <w:rFonts w:ascii="Cambria" w:hAnsi="Cambria"/>
                                  <w:b/>
                                  <w:bCs/>
                                  <w:color w:val="003399"/>
                                  <w:sz w:val="20"/>
                                  <w:szCs w:val="20"/>
                                </w:rPr>
                                <w:t>mii persoane</w:t>
                              </w:r>
                            </w:p>
                            <w:p w:rsidR="00793447" w:rsidRDefault="00793447" w:rsidP="00871D27">
                              <w:pPr>
                                <w:rPr>
                                  <w:sz w:val="24"/>
                                  <w:szCs w:val="24"/>
                                </w:rPr>
                              </w:pPr>
                            </w:p>
                          </w:txbxContent>
                        </wps:txbx>
                        <wps:bodyPr rot="0" vert="horz" wrap="square" lIns="91440" tIns="45720" rIns="91440" bIns="45720" anchor="t" anchorCtr="0" upright="1">
                          <a:noAutofit/>
                        </wps:bodyPr>
                      </wps:wsp>
                      <wps:wsp>
                        <wps:cNvPr id="388" name="Text Box 390"/>
                        <wps:cNvSpPr txBox="1">
                          <a:spLocks noChangeArrowheads="1"/>
                        </wps:cNvSpPr>
                        <wps:spPr bwMode="auto">
                          <a:xfrm>
                            <a:off x="3543300" y="1362939"/>
                            <a:ext cx="1943100" cy="465918"/>
                          </a:xfrm>
                          <a:prstGeom prst="rect">
                            <a:avLst/>
                          </a:prstGeom>
                          <a:solidFill>
                            <a:srgbClr val="FFFFB9"/>
                          </a:solidFill>
                          <a:ln w="9525">
                            <a:solidFill>
                              <a:srgbClr val="000000"/>
                            </a:solidFill>
                            <a:miter lim="800000"/>
                            <a:headEnd/>
                            <a:tailEnd/>
                          </a:ln>
                        </wps:spPr>
                        <wps:txbx>
                          <w:txbxContent>
                            <w:p w:rsidR="00793447" w:rsidRPr="007731DF" w:rsidRDefault="00793447" w:rsidP="00871D27">
                              <w:pPr>
                                <w:spacing w:after="0" w:line="240" w:lineRule="auto"/>
                                <w:rPr>
                                  <w:rFonts w:ascii="Cambria" w:hAnsi="Cambria"/>
                                  <w:sz w:val="20"/>
                                  <w:szCs w:val="20"/>
                                </w:rPr>
                              </w:pPr>
                              <w:r w:rsidRPr="007731DF">
                                <w:rPr>
                                  <w:rFonts w:ascii="Cambria" w:hAnsi="Cambria"/>
                                  <w:sz w:val="20"/>
                                  <w:szCs w:val="20"/>
                                </w:rPr>
                                <w:t xml:space="preserve">POPULAŢIA OCUPATĂ CIVILĂ </w:t>
                              </w:r>
                            </w:p>
                            <w:p w:rsidR="00793447" w:rsidRPr="007731DF" w:rsidRDefault="00793447" w:rsidP="00871D27">
                              <w:pPr>
                                <w:spacing w:after="0" w:line="240" w:lineRule="auto"/>
                                <w:jc w:val="center"/>
                                <w:rPr>
                                  <w:rFonts w:ascii="Cambria" w:hAnsi="Cambria"/>
                                  <w:b/>
                                  <w:bCs/>
                                  <w:color w:val="003399"/>
                                  <w:sz w:val="20"/>
                                  <w:szCs w:val="20"/>
                                </w:rPr>
                              </w:pPr>
                              <w:bookmarkStart w:id="2" w:name="_Hlk115435112"/>
                              <w:r>
                                <w:rPr>
                                  <w:rFonts w:ascii="Cambria" w:hAnsi="Cambria" w:cs="Arial"/>
                                  <w:b/>
                                  <w:color w:val="003399"/>
                                  <w:sz w:val="20"/>
                                  <w:szCs w:val="20"/>
                                </w:rPr>
                                <w:t>267</w:t>
                              </w:r>
                              <w:r w:rsidRPr="007E3BA6">
                                <w:rPr>
                                  <w:rFonts w:ascii="Cambria" w:hAnsi="Cambria" w:cs="Arial"/>
                                  <w:b/>
                                  <w:color w:val="003399"/>
                                  <w:sz w:val="20"/>
                                  <w:szCs w:val="20"/>
                                </w:rPr>
                                <w:t>,</w:t>
                              </w:r>
                              <w:r>
                                <w:rPr>
                                  <w:rFonts w:ascii="Cambria" w:hAnsi="Cambria" w:cs="Arial"/>
                                  <w:b/>
                                  <w:color w:val="003399"/>
                                  <w:sz w:val="20"/>
                                  <w:szCs w:val="20"/>
                                </w:rPr>
                                <w:t xml:space="preserve">3 </w:t>
                              </w:r>
                              <w:bookmarkEnd w:id="2"/>
                              <w:r w:rsidRPr="007731DF">
                                <w:rPr>
                                  <w:rFonts w:ascii="Cambria" w:hAnsi="Cambria"/>
                                  <w:b/>
                                  <w:bCs/>
                                  <w:color w:val="003399"/>
                                  <w:sz w:val="20"/>
                                  <w:szCs w:val="20"/>
                                </w:rPr>
                                <w:t>mii persoane</w:t>
                              </w:r>
                            </w:p>
                          </w:txbxContent>
                        </wps:txbx>
                        <wps:bodyPr rot="0" vert="horz" wrap="square" lIns="91440" tIns="45720" rIns="91440" bIns="45720" anchor="t" anchorCtr="0" upright="1">
                          <a:noAutofit/>
                        </wps:bodyPr>
                      </wps:wsp>
                      <wps:wsp>
                        <wps:cNvPr id="389" name="Text Box 391"/>
                        <wps:cNvSpPr txBox="1">
                          <a:spLocks noChangeArrowheads="1"/>
                        </wps:cNvSpPr>
                        <wps:spPr bwMode="auto">
                          <a:xfrm>
                            <a:off x="3543300" y="2001446"/>
                            <a:ext cx="1943100" cy="447400"/>
                          </a:xfrm>
                          <a:prstGeom prst="rect">
                            <a:avLst/>
                          </a:prstGeom>
                          <a:solidFill>
                            <a:srgbClr val="FFFFB9"/>
                          </a:solidFill>
                          <a:ln w="9525">
                            <a:solidFill>
                              <a:srgbClr val="000000"/>
                            </a:solidFill>
                            <a:miter lim="800000"/>
                            <a:headEnd/>
                            <a:tailEnd/>
                          </a:ln>
                        </wps:spPr>
                        <wps:txbx>
                          <w:txbxContent>
                            <w:p w:rsidR="00793447" w:rsidRPr="007731DF" w:rsidRDefault="00793447" w:rsidP="00871D27">
                              <w:pPr>
                                <w:spacing w:after="0" w:line="240" w:lineRule="auto"/>
                                <w:jc w:val="center"/>
                                <w:rPr>
                                  <w:rFonts w:ascii="Cambria" w:hAnsi="Cambria"/>
                                  <w:sz w:val="20"/>
                                  <w:szCs w:val="20"/>
                                </w:rPr>
                              </w:pPr>
                              <w:r w:rsidRPr="007731DF">
                                <w:rPr>
                                  <w:rFonts w:ascii="Cambria" w:hAnsi="Cambria"/>
                                  <w:sz w:val="20"/>
                                  <w:szCs w:val="20"/>
                                </w:rPr>
                                <w:t>ŞOMERI</w:t>
                              </w:r>
                            </w:p>
                            <w:p w:rsidR="00793447" w:rsidRPr="007731DF" w:rsidRDefault="00793447" w:rsidP="00871D27">
                              <w:pPr>
                                <w:spacing w:after="0" w:line="240" w:lineRule="auto"/>
                                <w:jc w:val="center"/>
                                <w:rPr>
                                  <w:rFonts w:ascii="Cambria" w:hAnsi="Cambria"/>
                                  <w:b/>
                                  <w:bCs/>
                                  <w:color w:val="003399"/>
                                  <w:sz w:val="20"/>
                                  <w:szCs w:val="20"/>
                                </w:rPr>
                              </w:pPr>
                              <w:r>
                                <w:rPr>
                                  <w:rFonts w:ascii="Cambria" w:hAnsi="Cambria" w:cs="Arial"/>
                                  <w:b/>
                                  <w:color w:val="003399"/>
                                  <w:sz w:val="20"/>
                                </w:rPr>
                                <w:t xml:space="preserve"> </w:t>
                              </w:r>
                              <w:r w:rsidRPr="007E3BA6">
                                <w:rPr>
                                  <w:rFonts w:ascii="Cambria" w:hAnsi="Cambria" w:cs="Arial"/>
                                  <w:b/>
                                  <w:color w:val="003399"/>
                                  <w:sz w:val="20"/>
                                </w:rPr>
                                <w:t>5,9</w:t>
                              </w:r>
                              <w:r w:rsidRPr="007731DF">
                                <w:rPr>
                                  <w:rFonts w:ascii="Cambria" w:hAnsi="Cambria" w:cs="Arial"/>
                                  <w:b/>
                                  <w:color w:val="003399"/>
                                  <w:sz w:val="20"/>
                                  <w:szCs w:val="20"/>
                                </w:rPr>
                                <w:t xml:space="preserve"> </w:t>
                              </w:r>
                              <w:r w:rsidRPr="007731DF">
                                <w:rPr>
                                  <w:rFonts w:ascii="Cambria" w:hAnsi="Cambria"/>
                                  <w:b/>
                                  <w:bCs/>
                                  <w:color w:val="003399"/>
                                  <w:sz w:val="20"/>
                                  <w:szCs w:val="20"/>
                                </w:rPr>
                                <w:t>mii persoane</w:t>
                              </w:r>
                            </w:p>
                          </w:txbxContent>
                        </wps:txbx>
                        <wps:bodyPr rot="0" vert="horz" wrap="square" lIns="91440" tIns="45720" rIns="91440" bIns="45720" anchor="t" anchorCtr="0" upright="1">
                          <a:noAutofit/>
                        </wps:bodyPr>
                      </wps:wsp>
                      <wps:wsp>
                        <wps:cNvPr id="390" name="AutoShape 392"/>
                        <wps:cNvCnPr>
                          <a:cxnSpLocks noChangeShapeType="1"/>
                        </wps:cNvCnPr>
                        <wps:spPr bwMode="auto">
                          <a:xfrm rot="10800000" flipV="1">
                            <a:off x="3314700" y="1542936"/>
                            <a:ext cx="228600" cy="28592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1" name="AutoShape 393"/>
                        <wps:cNvCnPr>
                          <a:cxnSpLocks noChangeShapeType="1"/>
                        </wps:cNvCnPr>
                        <wps:spPr bwMode="auto">
                          <a:xfrm rot="10800000">
                            <a:off x="3314700" y="1828857"/>
                            <a:ext cx="228600" cy="39925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2" name="AutoShape 394"/>
                        <wps:cNvCnPr>
                          <a:cxnSpLocks noChangeShapeType="1"/>
                        </wps:cNvCnPr>
                        <wps:spPr bwMode="auto">
                          <a:xfrm rot="10800000">
                            <a:off x="228600" y="628878"/>
                            <a:ext cx="914400" cy="1199979"/>
                          </a:xfrm>
                          <a:prstGeom prst="bentConnector3">
                            <a:avLst>
                              <a:gd name="adj1" fmla="val 12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3" name="AutoShape 395"/>
                        <wps:cNvCnPr>
                          <a:cxnSpLocks noChangeShapeType="1"/>
                        </wps:cNvCnPr>
                        <wps:spPr bwMode="auto">
                          <a:xfrm rot="10800000">
                            <a:off x="0" y="1657008"/>
                            <a:ext cx="1143000" cy="1314051"/>
                          </a:xfrm>
                          <a:prstGeom prst="bentConnector2">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21BE4B0" id="Canvas 385" o:spid="_x0000_s1033" editas="canvas" style="width:6in;height:292.15pt;mso-position-horizontal-relative:char;mso-position-vertical-relative:line" coordsize="54864,3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4864;height:37103;visibility:visible;mso-wrap-style:square">
                  <v:fill o:detectmouseclick="t"/>
                  <v:path o:connecttype="none"/>
                </v:shape>
                <v:shape id="Text Box 387" o:spid="_x0000_s1035" type="#_x0000_t202" style="position:absolute;left:2286;top:3429;width:4914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" fillcolor="#d9ffd9">
                  <v:textbox>
                    <w:txbxContent>
                      <w:p w:rsidR="00793447" w:rsidRPr="007731DF" w:rsidRDefault="00793447" w:rsidP="00871D27">
                        <w:pPr>
                          <w:spacing w:after="0" w:line="240" w:lineRule="auto"/>
                          <w:jc w:val="center"/>
                          <w:rPr>
                            <w:rFonts w:ascii="Cambria" w:hAnsi="Cambria"/>
                            <w:b/>
                            <w:lang w:val="fr-FR"/>
                          </w:rPr>
                        </w:pPr>
                        <w:r w:rsidRPr="007731DF">
                          <w:rPr>
                            <w:rFonts w:ascii="Cambria" w:hAnsi="Cambria"/>
                            <w:b/>
                            <w:lang w:val="fr-FR"/>
                          </w:rPr>
                          <w:t>RESURSE DE MUNCĂ</w:t>
                        </w:r>
                      </w:p>
                      <w:p w:rsidR="00793447" w:rsidRPr="007731DF" w:rsidRDefault="00793447" w:rsidP="00871D27">
                        <w:pPr>
                          <w:spacing w:after="0" w:line="240" w:lineRule="auto"/>
                          <w:jc w:val="center"/>
                          <w:rPr>
                            <w:rFonts w:ascii="Cambria" w:hAnsi="Cambria"/>
                            <w:b/>
                            <w:bCs/>
                            <w:color w:val="003399"/>
                            <w:lang w:val="fr-FR"/>
                          </w:rPr>
                        </w:pPr>
                        <w:r w:rsidRPr="007731DF">
                          <w:rPr>
                            <w:rFonts w:ascii="Cambria" w:hAnsi="Cambria" w:cs="Arial"/>
                            <w:b/>
                            <w:color w:val="003399"/>
                          </w:rPr>
                          <w:t xml:space="preserve"> </w:t>
                        </w:r>
                        <w:bookmarkStart w:id="3" w:name="_Hlk115250055"/>
                        <w:r>
                          <w:rPr>
                            <w:rFonts w:ascii="Cambria" w:hAnsi="Cambria" w:cs="Arial"/>
                            <w:b/>
                            <w:color w:val="003399"/>
                          </w:rPr>
                          <w:t>419</w:t>
                        </w:r>
                        <w:r w:rsidRPr="007E3BA6">
                          <w:rPr>
                            <w:rFonts w:ascii="Cambria" w:hAnsi="Cambria" w:cs="Arial"/>
                            <w:b/>
                            <w:color w:val="003399"/>
                          </w:rPr>
                          <w:t>,</w:t>
                        </w:r>
                        <w:r>
                          <w:rPr>
                            <w:rFonts w:ascii="Cambria" w:hAnsi="Cambria" w:cs="Arial"/>
                            <w:b/>
                            <w:color w:val="003399"/>
                          </w:rPr>
                          <w:t xml:space="preserve">3 </w:t>
                        </w:r>
                        <w:bookmarkEnd w:id="3"/>
                        <w:r w:rsidRPr="007731DF">
                          <w:rPr>
                            <w:rFonts w:ascii="Cambria" w:hAnsi="Cambria"/>
                            <w:b/>
                            <w:bCs/>
                            <w:color w:val="003399"/>
                            <w:lang w:val="fr-FR"/>
                          </w:rPr>
                          <w:t>mii persoane</w:t>
                        </w:r>
                      </w:p>
                      <w:p w:rsidR="00793447" w:rsidRDefault="00793447" w:rsidP="00871D27">
                        <w:pPr>
                          <w:jc w:val="center"/>
                          <w:rPr>
                            <w:lang w:val="fr-FR"/>
                          </w:rPr>
                        </w:pPr>
                      </w:p>
                    </w:txbxContent>
                  </v:textbox>
                </v:shape>
                <v:shape id="Text Box 388" o:spid="_x0000_s1036" type="#_x0000_t202" style="position:absolute;left:11430;top:15429;width:21717;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" fillcolor="#cff">
                  <v:textbox>
                    <w:txbxContent>
                      <w:p w:rsidR="00793447" w:rsidRPr="007731DF" w:rsidRDefault="00793447" w:rsidP="00871D27">
                        <w:pPr>
                          <w:spacing w:after="0" w:line="240" w:lineRule="auto"/>
                          <w:jc w:val="center"/>
                          <w:rPr>
                            <w:rFonts w:ascii="Cambria" w:hAnsi="Cambria"/>
                            <w:sz w:val="20"/>
                            <w:szCs w:val="20"/>
                          </w:rPr>
                        </w:pPr>
                        <w:r w:rsidRPr="007731DF">
                          <w:rPr>
                            <w:rFonts w:ascii="Cambria" w:hAnsi="Cambria"/>
                            <w:sz w:val="20"/>
                            <w:szCs w:val="20"/>
                          </w:rPr>
                          <w:t>POPULAŢIA ACTIVĂ CIVILĂ</w:t>
                        </w:r>
                      </w:p>
                      <w:p w:rsidR="00793447" w:rsidRPr="007731DF" w:rsidRDefault="00793447" w:rsidP="00871D27">
                        <w:pPr>
                          <w:spacing w:after="0" w:line="240" w:lineRule="auto"/>
                          <w:jc w:val="center"/>
                          <w:rPr>
                            <w:rFonts w:ascii="Cambria" w:hAnsi="Cambria"/>
                            <w:b/>
                            <w:bCs/>
                            <w:color w:val="003399"/>
                            <w:sz w:val="20"/>
                            <w:szCs w:val="20"/>
                          </w:rPr>
                        </w:pPr>
                        <w:r>
                          <w:rPr>
                            <w:rFonts w:ascii="Cambria" w:hAnsi="Cambria" w:cs="Arial"/>
                            <w:b/>
                            <w:color w:val="003399"/>
                            <w:sz w:val="20"/>
                            <w:szCs w:val="20"/>
                          </w:rPr>
                          <w:t>273</w:t>
                        </w:r>
                        <w:r w:rsidRPr="007E3BA6">
                          <w:rPr>
                            <w:rFonts w:ascii="Cambria" w:hAnsi="Cambria" w:cs="Arial"/>
                            <w:b/>
                            <w:color w:val="003399"/>
                            <w:sz w:val="20"/>
                            <w:szCs w:val="20"/>
                          </w:rPr>
                          <w:t>,</w:t>
                        </w:r>
                        <w:r>
                          <w:rPr>
                            <w:rFonts w:ascii="Cambria" w:hAnsi="Cambria" w:cs="Arial"/>
                            <w:b/>
                            <w:color w:val="003399"/>
                            <w:sz w:val="20"/>
                            <w:szCs w:val="20"/>
                          </w:rPr>
                          <w:t xml:space="preserve">2 </w:t>
                        </w:r>
                        <w:r w:rsidRPr="007731DF">
                          <w:rPr>
                            <w:rFonts w:ascii="Cambria" w:hAnsi="Cambria"/>
                            <w:b/>
                            <w:bCs/>
                            <w:color w:val="003399"/>
                            <w:sz w:val="20"/>
                            <w:szCs w:val="20"/>
                          </w:rPr>
                          <w:t>mii persoane</w:t>
                        </w:r>
                      </w:p>
                    </w:txbxContent>
                  </v:textbox>
                </v:shape>
                <v:shape id="Text Box 389" o:spid="_x0000_s1037" type="#_x0000_t202" style="position:absolute;left:11430;top:25140;width:21717;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" fillcolor="#cff">
                  <v:textbox>
                    <w:txbxContent>
                      <w:p w:rsidR="00793447" w:rsidRPr="007731DF" w:rsidRDefault="00793447" w:rsidP="00871D27">
                        <w:pPr>
                          <w:spacing w:after="0" w:line="240" w:lineRule="auto"/>
                          <w:jc w:val="center"/>
                          <w:rPr>
                            <w:rFonts w:ascii="Cambria" w:hAnsi="Cambria"/>
                            <w:sz w:val="20"/>
                            <w:szCs w:val="20"/>
                            <w:lang w:val="it-IT"/>
                          </w:rPr>
                        </w:pPr>
                        <w:r w:rsidRPr="007731DF">
                          <w:rPr>
                            <w:rFonts w:ascii="Cambria" w:hAnsi="Cambria"/>
                            <w:sz w:val="20"/>
                            <w:szCs w:val="20"/>
                            <w:lang w:val="it-IT"/>
                          </w:rPr>
                          <w:t>POPULAŢIA ÎN PREGĂTIRE PROFESIONALĂ ŞI ALTE CATEGORII DE POPULAŢIE ÎN VÂRSTĂ DE MUNCĂ</w:t>
                        </w:r>
                      </w:p>
                      <w:p w:rsidR="00793447" w:rsidRPr="007731DF" w:rsidRDefault="00793447" w:rsidP="00871D27">
                        <w:pPr>
                          <w:jc w:val="center"/>
                          <w:rPr>
                            <w:rFonts w:ascii="Cambria" w:hAnsi="Cambria"/>
                            <w:b/>
                            <w:bCs/>
                            <w:color w:val="003399"/>
                            <w:sz w:val="20"/>
                            <w:szCs w:val="20"/>
                          </w:rPr>
                        </w:pPr>
                        <w:r w:rsidRPr="007731DF">
                          <w:rPr>
                            <w:rFonts w:ascii="Cambria" w:hAnsi="Cambria" w:cs="Arial"/>
                            <w:b/>
                            <w:color w:val="003399"/>
                            <w:sz w:val="20"/>
                            <w:szCs w:val="20"/>
                          </w:rPr>
                          <w:t xml:space="preserve"> </w:t>
                        </w:r>
                        <w:r>
                          <w:rPr>
                            <w:rFonts w:ascii="Cambria" w:hAnsi="Cambria" w:cs="Arial"/>
                            <w:b/>
                            <w:color w:val="003399"/>
                            <w:sz w:val="20"/>
                            <w:szCs w:val="20"/>
                          </w:rPr>
                          <w:t>146</w:t>
                        </w:r>
                        <w:r w:rsidRPr="007E3BA6">
                          <w:rPr>
                            <w:rFonts w:ascii="Cambria" w:hAnsi="Cambria" w:cs="Arial"/>
                            <w:b/>
                            <w:color w:val="003399"/>
                            <w:sz w:val="20"/>
                            <w:szCs w:val="20"/>
                          </w:rPr>
                          <w:t>,</w:t>
                        </w:r>
                        <w:r>
                          <w:rPr>
                            <w:rFonts w:ascii="Cambria" w:hAnsi="Cambria" w:cs="Arial"/>
                            <w:b/>
                            <w:color w:val="003399"/>
                            <w:sz w:val="20"/>
                            <w:szCs w:val="20"/>
                          </w:rPr>
                          <w:t xml:space="preserve">1 </w:t>
                        </w:r>
                        <w:r w:rsidRPr="007731DF">
                          <w:rPr>
                            <w:rFonts w:ascii="Cambria" w:hAnsi="Cambria"/>
                            <w:b/>
                            <w:bCs/>
                            <w:color w:val="003399"/>
                            <w:sz w:val="20"/>
                            <w:szCs w:val="20"/>
                          </w:rPr>
                          <w:t>mii persoane</w:t>
                        </w:r>
                      </w:p>
                      <w:p w:rsidR="00793447" w:rsidRDefault="00793447" w:rsidP="00871D27">
                        <w:pPr>
                          <w:rPr>
                            <w:sz w:val="24"/>
                            <w:szCs w:val="24"/>
                          </w:rPr>
                        </w:pPr>
                      </w:p>
                    </w:txbxContent>
                  </v:textbox>
                </v:shape>
                <v:shape id="Text Box 390" o:spid="_x0000_s1038" type="#_x0000_t202" style="position:absolute;left:35433;top:13629;width:19431;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" fillcolor="#ffffb9">
                  <v:textbox>
                    <w:txbxContent>
                      <w:p w:rsidR="00793447" w:rsidRPr="007731DF" w:rsidRDefault="00793447" w:rsidP="00871D27">
                        <w:pPr>
                          <w:spacing w:after="0" w:line="240" w:lineRule="auto"/>
                          <w:rPr>
                            <w:rFonts w:ascii="Cambria" w:hAnsi="Cambria"/>
                            <w:sz w:val="20"/>
                            <w:szCs w:val="20"/>
                          </w:rPr>
                        </w:pPr>
                        <w:r w:rsidRPr="007731DF">
                          <w:rPr>
                            <w:rFonts w:ascii="Cambria" w:hAnsi="Cambria"/>
                            <w:sz w:val="20"/>
                            <w:szCs w:val="20"/>
                          </w:rPr>
                          <w:t xml:space="preserve">POPULAŢIA OCUPATĂ CIVILĂ </w:t>
                        </w:r>
                      </w:p>
                      <w:p w:rsidR="00793447" w:rsidRPr="007731DF" w:rsidRDefault="00793447" w:rsidP="00871D27">
                        <w:pPr>
                          <w:spacing w:after="0" w:line="240" w:lineRule="auto"/>
                          <w:jc w:val="center"/>
                          <w:rPr>
                            <w:rFonts w:ascii="Cambria" w:hAnsi="Cambria"/>
                            <w:b/>
                            <w:bCs/>
                            <w:color w:val="003399"/>
                            <w:sz w:val="20"/>
                            <w:szCs w:val="20"/>
                          </w:rPr>
                        </w:pPr>
                        <w:bookmarkStart w:id="4" w:name="_Hlk115435112"/>
                        <w:r>
                          <w:rPr>
                            <w:rFonts w:ascii="Cambria" w:hAnsi="Cambria" w:cs="Arial"/>
                            <w:b/>
                            <w:color w:val="003399"/>
                            <w:sz w:val="20"/>
                            <w:szCs w:val="20"/>
                          </w:rPr>
                          <w:t>267</w:t>
                        </w:r>
                        <w:r w:rsidRPr="007E3BA6">
                          <w:rPr>
                            <w:rFonts w:ascii="Cambria" w:hAnsi="Cambria" w:cs="Arial"/>
                            <w:b/>
                            <w:color w:val="003399"/>
                            <w:sz w:val="20"/>
                            <w:szCs w:val="20"/>
                          </w:rPr>
                          <w:t>,</w:t>
                        </w:r>
                        <w:r>
                          <w:rPr>
                            <w:rFonts w:ascii="Cambria" w:hAnsi="Cambria" w:cs="Arial"/>
                            <w:b/>
                            <w:color w:val="003399"/>
                            <w:sz w:val="20"/>
                            <w:szCs w:val="20"/>
                          </w:rPr>
                          <w:t xml:space="preserve">3 </w:t>
                        </w:r>
                        <w:bookmarkEnd w:id="4"/>
                        <w:r w:rsidRPr="007731DF">
                          <w:rPr>
                            <w:rFonts w:ascii="Cambria" w:hAnsi="Cambria"/>
                            <w:b/>
                            <w:bCs/>
                            <w:color w:val="003399"/>
                            <w:sz w:val="20"/>
                            <w:szCs w:val="20"/>
                          </w:rPr>
                          <w:t>mii persoane</w:t>
                        </w:r>
                      </w:p>
                    </w:txbxContent>
                  </v:textbox>
                </v:shape>
                <v:shape id="Text Box 391" o:spid="_x0000_s1039" type="#_x0000_t202" style="position:absolute;left:35433;top:20014;width:19431;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" fillcolor="#ffffb9">
                  <v:textbox>
                    <w:txbxContent>
                      <w:p w:rsidR="00793447" w:rsidRPr="007731DF" w:rsidRDefault="00793447" w:rsidP="00871D27">
                        <w:pPr>
                          <w:spacing w:after="0" w:line="240" w:lineRule="auto"/>
                          <w:jc w:val="center"/>
                          <w:rPr>
                            <w:rFonts w:ascii="Cambria" w:hAnsi="Cambria"/>
                            <w:sz w:val="20"/>
                            <w:szCs w:val="20"/>
                          </w:rPr>
                        </w:pPr>
                        <w:r w:rsidRPr="007731DF">
                          <w:rPr>
                            <w:rFonts w:ascii="Cambria" w:hAnsi="Cambria"/>
                            <w:sz w:val="20"/>
                            <w:szCs w:val="20"/>
                          </w:rPr>
                          <w:t>ŞOMERI</w:t>
                        </w:r>
                      </w:p>
                      <w:p w:rsidR="00793447" w:rsidRPr="007731DF" w:rsidRDefault="00793447" w:rsidP="00871D27">
                        <w:pPr>
                          <w:spacing w:after="0" w:line="240" w:lineRule="auto"/>
                          <w:jc w:val="center"/>
                          <w:rPr>
                            <w:rFonts w:ascii="Cambria" w:hAnsi="Cambria"/>
                            <w:b/>
                            <w:bCs/>
                            <w:color w:val="003399"/>
                            <w:sz w:val="20"/>
                            <w:szCs w:val="20"/>
                          </w:rPr>
                        </w:pPr>
                        <w:r>
                          <w:rPr>
                            <w:rFonts w:ascii="Cambria" w:hAnsi="Cambria" w:cs="Arial"/>
                            <w:b/>
                            <w:color w:val="003399"/>
                            <w:sz w:val="20"/>
                          </w:rPr>
                          <w:t xml:space="preserve"> </w:t>
                        </w:r>
                        <w:r w:rsidRPr="007E3BA6">
                          <w:rPr>
                            <w:rFonts w:ascii="Cambria" w:hAnsi="Cambria" w:cs="Arial"/>
                            <w:b/>
                            <w:color w:val="003399"/>
                            <w:sz w:val="20"/>
                          </w:rPr>
                          <w:t>5,9</w:t>
                        </w:r>
                        <w:r w:rsidRPr="007731DF">
                          <w:rPr>
                            <w:rFonts w:ascii="Cambria" w:hAnsi="Cambria" w:cs="Arial"/>
                            <w:b/>
                            <w:color w:val="003399"/>
                            <w:sz w:val="20"/>
                            <w:szCs w:val="20"/>
                          </w:rPr>
                          <w:t xml:space="preserve"> </w:t>
                        </w:r>
                        <w:r w:rsidRPr="007731DF">
                          <w:rPr>
                            <w:rFonts w:ascii="Cambria" w:hAnsi="Cambria"/>
                            <w:b/>
                            <w:bCs/>
                            <w:color w:val="003399"/>
                            <w:sz w:val="20"/>
                            <w:szCs w:val="20"/>
                          </w:rPr>
                          <w:t>mii persoane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2" o:spid="_x0000_s1040" type="#_x0000_t34" style="position:absolute;left:33147;top:15429;width:2286;height:285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">
                  <v:stroke endarrow="block"/>
                </v:shape>
                <v:shape id="AutoShape 393" o:spid="_x0000_s1041" type="#_x0000_t34" style="position:absolute;left:33147;top:18288;width:2286;height:399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">
                  <v:stroke endarrow="block"/>
                </v:shape>
                <v:shape id="AutoShape 394" o:spid="_x0000_s1042" type="#_x0000_t34" style="position:absolute;left:2286;top:6288;width:9144;height:120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" adj="27000">
                  <v:stroke endarrow="block"/>
                </v:shape>
                <v:shapetype id="_x0000_t33" coordsize="21600,21600" o:spt="33" o:oned="t" path="m,l21600,r,21600e" filled="f">
                  <v:stroke joinstyle="miter"/>
                  <v:path arrowok="t" fillok="f" o:connecttype="none"/>
                  <o:lock v:ext="edit" shapetype="t"/>
                </v:shapetype>
                <v:shape id="AutoShape 395" o:spid="_x0000_s1043" type="#_x0000_t33" style="position:absolute;top:16570;width:11430;height:1314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" strokeweight="1pt"/>
                <w10:anchorlock/>
              </v:group>
            </w:pict>
          </mc:Fallback>
        </mc:AlternateContent>
      </w:r>
    </w:p>
    <w:p w:rsidR="00633CB6" w:rsidRPr="00793447" w:rsidRDefault="00633CB6" w:rsidP="00633CB6">
      <w:pPr>
        <w:pStyle w:val="CM6"/>
        <w:spacing w:line="240" w:lineRule="auto"/>
        <w:ind w:firstLine="426"/>
        <w:jc w:val="both"/>
        <w:rPr>
          <w:rFonts w:asciiTheme="majorHAnsi" w:hAnsiTheme="majorHAnsi" w:cs="Calibri"/>
          <w:color w:val="FF0000"/>
          <w:lang w:val="ro-RO"/>
        </w:rPr>
      </w:pPr>
      <w:r w:rsidRPr="00793447">
        <w:rPr>
          <w:rFonts w:asciiTheme="majorHAnsi" w:hAnsiTheme="majorHAnsi" w:cs="Calibri"/>
          <w:lang w:val="ro-RO"/>
        </w:rPr>
        <w:t xml:space="preserve">La 1 ianuarie 2023, </w:t>
      </w:r>
      <w:r w:rsidRPr="00793447">
        <w:rPr>
          <w:rFonts w:asciiTheme="majorHAnsi" w:hAnsiTheme="majorHAnsi" w:cs="Calibri"/>
          <w:bCs/>
          <w:lang w:val="ro-RO"/>
        </w:rPr>
        <w:t>resursele de muncă</w:t>
      </w:r>
      <w:r w:rsidRPr="00793447">
        <w:rPr>
          <w:rFonts w:asciiTheme="majorHAnsi" w:hAnsiTheme="majorHAnsi" w:cs="Calibri"/>
          <w:lang w:val="ro-RO"/>
        </w:rPr>
        <w:t xml:space="preserve"> din judeţul Prahova au fost de </w:t>
      </w:r>
      <w:r w:rsidRPr="00793447">
        <w:rPr>
          <w:rFonts w:asciiTheme="majorHAnsi" w:hAnsiTheme="majorHAnsi" w:cs="Arial"/>
        </w:rPr>
        <w:t>419,3</w:t>
      </w:r>
      <w:r w:rsidRPr="00793447">
        <w:rPr>
          <w:rFonts w:asciiTheme="majorHAnsi" w:hAnsiTheme="majorHAnsi" w:cs="Arial"/>
          <w:b/>
        </w:rPr>
        <w:t xml:space="preserve"> </w:t>
      </w:r>
      <w:r w:rsidRPr="00793447">
        <w:rPr>
          <w:rFonts w:asciiTheme="majorHAnsi" w:hAnsiTheme="majorHAnsi" w:cs="Calibri"/>
          <w:lang w:val="ro-RO"/>
        </w:rPr>
        <w:t xml:space="preserve">mii persoane, în scădere cu 21,9 mii persoane faţă de 1 ianuarie 2022. </w:t>
      </w:r>
    </w:p>
    <w:p w:rsidR="00633CB6" w:rsidRPr="00793447" w:rsidRDefault="00633CB6" w:rsidP="00633CB6">
      <w:pPr>
        <w:pStyle w:val="CM6"/>
        <w:spacing w:line="240" w:lineRule="auto"/>
        <w:ind w:firstLine="426"/>
        <w:jc w:val="both"/>
        <w:rPr>
          <w:rFonts w:asciiTheme="majorHAnsi" w:hAnsiTheme="majorHAnsi" w:cs="Calibri"/>
          <w:lang w:val="ro-RO"/>
        </w:rPr>
      </w:pPr>
      <w:r w:rsidRPr="00793447">
        <w:rPr>
          <w:rFonts w:asciiTheme="majorHAnsi" w:hAnsiTheme="majorHAnsi" w:cs="Calibri"/>
          <w:lang w:val="ro-RO"/>
        </w:rPr>
        <w:t>Distribuţia pe sexe a resurselor de muncă arată că ponderea bărbaţilor a fost mai  mare decât a femeilor (diferenţa fiind  de 3,6 procente).</w:t>
      </w:r>
    </w:p>
    <w:p w:rsidR="00633CB6" w:rsidRPr="00793447" w:rsidRDefault="00633CB6" w:rsidP="00633CB6">
      <w:pPr>
        <w:pStyle w:val="Default"/>
        <w:ind w:firstLine="426"/>
        <w:jc w:val="both"/>
        <w:rPr>
          <w:rFonts w:asciiTheme="majorHAnsi" w:hAnsiTheme="majorHAnsi"/>
          <w:color w:val="auto"/>
          <w:lang w:val="ro-RO"/>
        </w:rPr>
      </w:pPr>
      <w:r w:rsidRPr="00793447">
        <w:rPr>
          <w:rFonts w:asciiTheme="majorHAnsi" w:hAnsiTheme="majorHAnsi"/>
          <w:color w:val="auto"/>
          <w:lang w:val="ro-RO"/>
        </w:rPr>
        <w:t>Rata de activitate a resurselor de munca a fost la 1 ianuarie 2023 de 65,2 %</w:t>
      </w:r>
      <w:r w:rsidR="00650430">
        <w:rPr>
          <w:rFonts w:asciiTheme="majorHAnsi" w:hAnsiTheme="majorHAnsi"/>
          <w:color w:val="auto"/>
          <w:lang w:val="ro-RO"/>
        </w:rPr>
        <w:t>,</w:t>
      </w:r>
      <w:r w:rsidRPr="00793447">
        <w:rPr>
          <w:rFonts w:asciiTheme="majorHAnsi" w:hAnsiTheme="majorHAnsi"/>
          <w:color w:val="auto"/>
          <w:lang w:val="ro-RO"/>
        </w:rPr>
        <w:t xml:space="preserve"> în creștere cu 5,0 puncte procentuale faţă de 1 ianuarie 2022.</w:t>
      </w:r>
    </w:p>
    <w:p w:rsidR="00633CB6" w:rsidRPr="00793447" w:rsidRDefault="00633CB6" w:rsidP="00633CB6">
      <w:pPr>
        <w:autoSpaceDE w:val="0"/>
        <w:autoSpaceDN w:val="0"/>
        <w:adjustRightInd w:val="0"/>
        <w:spacing w:after="0" w:line="240" w:lineRule="auto"/>
        <w:ind w:firstLine="567"/>
        <w:jc w:val="both"/>
        <w:rPr>
          <w:rFonts w:asciiTheme="majorHAnsi" w:hAnsiTheme="majorHAnsi" w:cs="Arial"/>
          <w:bCs/>
          <w:sz w:val="24"/>
          <w:szCs w:val="24"/>
          <w:lang w:val="pt-BR"/>
        </w:rPr>
      </w:pPr>
      <w:r w:rsidRPr="00793447">
        <w:rPr>
          <w:rFonts w:asciiTheme="majorHAnsi" w:hAnsiTheme="majorHAnsi"/>
          <w:sz w:val="24"/>
          <w:szCs w:val="24"/>
        </w:rPr>
        <w:t>La 1 ianuarie 2023</w:t>
      </w:r>
      <w:r w:rsidR="00650430">
        <w:rPr>
          <w:rFonts w:asciiTheme="majorHAnsi" w:hAnsiTheme="majorHAnsi"/>
          <w:sz w:val="24"/>
          <w:szCs w:val="24"/>
        </w:rPr>
        <w:t>,</w:t>
      </w:r>
      <w:r w:rsidRPr="00793447">
        <w:rPr>
          <w:rFonts w:asciiTheme="majorHAnsi" w:hAnsiTheme="majorHAnsi"/>
          <w:sz w:val="24"/>
          <w:szCs w:val="24"/>
        </w:rPr>
        <w:t xml:space="preserve"> populaţia ocupată civilă din județul Prahova a fost de 267,3 mii persoane.</w:t>
      </w:r>
    </w:p>
    <w:p w:rsidR="00633CB6" w:rsidRPr="00793447" w:rsidRDefault="00633CB6" w:rsidP="00633CB6">
      <w:pPr>
        <w:spacing w:after="0" w:line="240" w:lineRule="auto"/>
        <w:ind w:firstLine="567"/>
        <w:jc w:val="both"/>
        <w:rPr>
          <w:rFonts w:asciiTheme="majorHAnsi" w:hAnsiTheme="majorHAnsi" w:cs="Helvetica"/>
          <w:sz w:val="24"/>
          <w:szCs w:val="24"/>
          <w:lang w:val="ro-RO"/>
        </w:rPr>
      </w:pPr>
      <w:r w:rsidRPr="00793447">
        <w:rPr>
          <w:rFonts w:asciiTheme="majorHAnsi" w:hAnsiTheme="majorHAnsi" w:cs="Helvetica"/>
          <w:sz w:val="24"/>
          <w:szCs w:val="24"/>
          <w:lang w:val="ro-RO"/>
        </w:rPr>
        <w:t>Rata de ocupare a resurselor de muncă a fost la 1 ianuarie 2023 de 63,7%</w:t>
      </w:r>
      <w:r w:rsidR="00650430">
        <w:rPr>
          <w:rFonts w:asciiTheme="majorHAnsi" w:hAnsiTheme="majorHAnsi" w:cs="Helvetica"/>
          <w:sz w:val="24"/>
          <w:szCs w:val="24"/>
          <w:lang w:val="ro-RO"/>
        </w:rPr>
        <w:t>,</w:t>
      </w:r>
      <w:r w:rsidRPr="00793447">
        <w:rPr>
          <w:rFonts w:asciiTheme="majorHAnsi" w:hAnsiTheme="majorHAnsi" w:cs="Helvetica"/>
          <w:sz w:val="24"/>
          <w:szCs w:val="24"/>
          <w:lang w:val="ro-RO"/>
        </w:rPr>
        <w:t xml:space="preserve"> în creștere faţă de 1 ianuarie 2022 cu 4,8 puncte procentuale.</w:t>
      </w:r>
    </w:p>
    <w:p w:rsidR="00633CB6" w:rsidRPr="00793447" w:rsidRDefault="00633CB6" w:rsidP="00633CB6">
      <w:pPr>
        <w:autoSpaceDE w:val="0"/>
        <w:autoSpaceDN w:val="0"/>
        <w:adjustRightInd w:val="0"/>
        <w:spacing w:after="0" w:line="240" w:lineRule="auto"/>
        <w:ind w:firstLine="567"/>
        <w:jc w:val="both"/>
        <w:rPr>
          <w:rFonts w:asciiTheme="majorHAnsi" w:hAnsiTheme="majorHAnsi"/>
          <w:sz w:val="24"/>
          <w:szCs w:val="24"/>
        </w:rPr>
      </w:pPr>
      <w:r w:rsidRPr="00793447">
        <w:rPr>
          <w:rFonts w:asciiTheme="majorHAnsi" w:hAnsiTheme="majorHAnsi"/>
          <w:sz w:val="24"/>
          <w:szCs w:val="24"/>
        </w:rPr>
        <w:t>Rata ocupării la persoanele de sex feminin a fost de 54,5%, mai redusă cu 17,9 puncte procentuale</w:t>
      </w:r>
      <w:r w:rsidR="00650430">
        <w:rPr>
          <w:rFonts w:asciiTheme="majorHAnsi" w:hAnsiTheme="majorHAnsi"/>
          <w:sz w:val="24"/>
          <w:szCs w:val="24"/>
        </w:rPr>
        <w:t>,</w:t>
      </w:r>
      <w:r w:rsidRPr="00793447">
        <w:rPr>
          <w:rFonts w:asciiTheme="majorHAnsi" w:hAnsiTheme="majorHAnsi"/>
          <w:sz w:val="24"/>
          <w:szCs w:val="24"/>
        </w:rPr>
        <w:t xml:space="preserve"> comparativ cu rata ocupării la bărbaţi (72,4%). </w:t>
      </w:r>
    </w:p>
    <w:p w:rsidR="00633CB6" w:rsidRPr="00793447" w:rsidRDefault="00633CB6" w:rsidP="00633CB6">
      <w:pPr>
        <w:autoSpaceDE w:val="0"/>
        <w:autoSpaceDN w:val="0"/>
        <w:adjustRightInd w:val="0"/>
        <w:spacing w:after="0" w:line="240" w:lineRule="auto"/>
        <w:ind w:firstLine="567"/>
        <w:jc w:val="both"/>
        <w:rPr>
          <w:rFonts w:asciiTheme="majorHAnsi" w:hAnsiTheme="majorHAnsi"/>
          <w:sz w:val="24"/>
          <w:szCs w:val="24"/>
        </w:rPr>
      </w:pPr>
      <w:r w:rsidRPr="00793447">
        <w:rPr>
          <w:rFonts w:asciiTheme="majorHAnsi" w:hAnsiTheme="majorHAnsi"/>
          <w:sz w:val="24"/>
          <w:szCs w:val="24"/>
        </w:rPr>
        <w:t xml:space="preserve">Activităţile cu un pronunţat grad de feminizare au fost cele de: intermedieri financiare şi asigurări (85,7%), sănătate şi asistenţă socială (80,5%), învăţământ (74,1%), administraţie publică şi apărare; </w:t>
      </w:r>
      <w:r w:rsidRPr="00793447">
        <w:rPr>
          <w:rFonts w:asciiTheme="majorHAnsi" w:hAnsiTheme="majorHAnsi"/>
          <w:sz w:val="24"/>
          <w:szCs w:val="24"/>
          <w:lang w:val="ro-RO"/>
        </w:rPr>
        <w:t>asigurări sociale din sistemul public</w:t>
      </w:r>
      <w:r w:rsidRPr="00793447">
        <w:rPr>
          <w:rFonts w:asciiTheme="majorHAnsi" w:hAnsiTheme="majorHAnsi"/>
          <w:sz w:val="24"/>
          <w:szCs w:val="24"/>
        </w:rPr>
        <w:t xml:space="preserve"> (63,8%), hoteluri şi restaurante (53,2%). </w:t>
      </w:r>
    </w:p>
    <w:p w:rsidR="00633CB6" w:rsidRPr="00793447" w:rsidRDefault="00633CB6" w:rsidP="00633CB6">
      <w:pPr>
        <w:autoSpaceDE w:val="0"/>
        <w:autoSpaceDN w:val="0"/>
        <w:adjustRightInd w:val="0"/>
        <w:spacing w:after="0" w:line="240" w:lineRule="auto"/>
        <w:ind w:firstLine="567"/>
        <w:jc w:val="both"/>
        <w:rPr>
          <w:rFonts w:asciiTheme="majorHAnsi" w:hAnsiTheme="majorHAnsi" w:cs="Arial"/>
          <w:b/>
          <w:bCs/>
          <w:sz w:val="24"/>
          <w:szCs w:val="24"/>
          <w:lang w:val="pt-BR"/>
        </w:rPr>
      </w:pPr>
      <w:r w:rsidRPr="00793447">
        <w:rPr>
          <w:rFonts w:asciiTheme="majorHAnsi" w:hAnsiTheme="majorHAnsi"/>
          <w:sz w:val="24"/>
          <w:szCs w:val="24"/>
        </w:rPr>
        <w:t xml:space="preserve">Bărbaţii ocupaţi au deţinut proporţii covârşitoare în activităţile: construcţii (92,2%), transport şi depozitare (85,2%)  şi industrie extractivă (87,0%). </w:t>
      </w:r>
    </w:p>
    <w:p w:rsidR="00871D27" w:rsidRDefault="00871D27" w:rsidP="00871D27">
      <w:pPr>
        <w:spacing w:after="0" w:line="240" w:lineRule="auto"/>
        <w:ind w:firstLine="426"/>
        <w:jc w:val="both"/>
        <w:rPr>
          <w:rFonts w:asciiTheme="majorHAnsi" w:hAnsiTheme="majorHAnsi" w:cs="Helvetica"/>
          <w:color w:val="FF0000"/>
          <w:sz w:val="24"/>
          <w:szCs w:val="24"/>
          <w:lang w:val="ro-RO"/>
        </w:rPr>
      </w:pPr>
    </w:p>
    <w:p w:rsidR="00650430" w:rsidRDefault="00650430" w:rsidP="00871D27">
      <w:pPr>
        <w:spacing w:after="0" w:line="240" w:lineRule="auto"/>
        <w:ind w:firstLine="426"/>
        <w:jc w:val="both"/>
        <w:rPr>
          <w:rFonts w:asciiTheme="majorHAnsi" w:hAnsiTheme="majorHAnsi" w:cs="Helvetica"/>
          <w:color w:val="FF0000"/>
          <w:sz w:val="24"/>
          <w:szCs w:val="24"/>
          <w:lang w:val="ro-RO"/>
        </w:rPr>
      </w:pPr>
    </w:p>
    <w:p w:rsidR="00E469EC" w:rsidRDefault="00E469EC" w:rsidP="00871D27">
      <w:pPr>
        <w:spacing w:after="0" w:line="240" w:lineRule="auto"/>
        <w:ind w:firstLine="426"/>
        <w:jc w:val="both"/>
        <w:rPr>
          <w:rFonts w:asciiTheme="majorHAnsi" w:hAnsiTheme="majorHAnsi" w:cs="Helvetica"/>
          <w:color w:val="FF0000"/>
          <w:sz w:val="24"/>
          <w:szCs w:val="24"/>
          <w:lang w:val="ro-RO"/>
        </w:rPr>
      </w:pPr>
    </w:p>
    <w:p w:rsidR="00E469EC" w:rsidRDefault="00E469EC" w:rsidP="00871D27">
      <w:pPr>
        <w:spacing w:after="0" w:line="240" w:lineRule="auto"/>
        <w:ind w:firstLine="426"/>
        <w:jc w:val="both"/>
        <w:rPr>
          <w:rFonts w:asciiTheme="majorHAnsi" w:hAnsiTheme="majorHAnsi" w:cs="Helvetica"/>
          <w:color w:val="FF0000"/>
          <w:sz w:val="24"/>
          <w:szCs w:val="24"/>
          <w:lang w:val="ro-RO"/>
        </w:rPr>
      </w:pPr>
    </w:p>
    <w:p w:rsidR="00E469EC" w:rsidRDefault="00E469EC" w:rsidP="00871D27">
      <w:pPr>
        <w:spacing w:after="0" w:line="240" w:lineRule="auto"/>
        <w:ind w:firstLine="426"/>
        <w:jc w:val="both"/>
        <w:rPr>
          <w:rFonts w:asciiTheme="majorHAnsi" w:hAnsiTheme="majorHAnsi" w:cs="Helvetica"/>
          <w:color w:val="FF0000"/>
          <w:sz w:val="24"/>
          <w:szCs w:val="24"/>
          <w:lang w:val="ro-RO"/>
        </w:rPr>
      </w:pPr>
    </w:p>
    <w:p w:rsidR="00871D27" w:rsidRPr="00793447" w:rsidRDefault="00871D27" w:rsidP="00871D27">
      <w:pPr>
        <w:autoSpaceDE w:val="0"/>
        <w:autoSpaceDN w:val="0"/>
        <w:adjustRightInd w:val="0"/>
        <w:spacing w:after="0" w:line="240" w:lineRule="auto"/>
        <w:jc w:val="center"/>
        <w:rPr>
          <w:rFonts w:asciiTheme="majorHAnsi" w:hAnsiTheme="majorHAnsi" w:cs="Arial-BoldMT"/>
          <w:b/>
          <w:bCs/>
          <w:sz w:val="24"/>
          <w:szCs w:val="24"/>
          <w:lang w:val="it-IT"/>
        </w:rPr>
      </w:pPr>
      <w:r w:rsidRPr="00793447">
        <w:rPr>
          <w:rFonts w:asciiTheme="majorHAnsi" w:hAnsiTheme="majorHAnsi" w:cs="Arial"/>
          <w:b/>
          <w:bCs/>
          <w:sz w:val="24"/>
          <w:szCs w:val="24"/>
          <w:lang w:val="it-IT"/>
        </w:rPr>
        <w:t>Popula</w:t>
      </w:r>
      <w:r w:rsidRPr="00793447">
        <w:rPr>
          <w:rFonts w:asciiTheme="majorHAnsi" w:hAnsiTheme="majorHAnsi" w:cs="Arial-BoldMT"/>
          <w:b/>
          <w:bCs/>
          <w:sz w:val="24"/>
          <w:szCs w:val="24"/>
          <w:lang w:val="it-IT"/>
        </w:rPr>
        <w:t>ţ</w:t>
      </w:r>
      <w:r w:rsidRPr="00793447">
        <w:rPr>
          <w:rFonts w:asciiTheme="majorHAnsi" w:hAnsiTheme="majorHAnsi" w:cs="Arial"/>
          <w:b/>
          <w:bCs/>
          <w:sz w:val="24"/>
          <w:szCs w:val="24"/>
          <w:lang w:val="it-IT"/>
        </w:rPr>
        <w:t>ia ocupat</w:t>
      </w:r>
      <w:r w:rsidRPr="00793447">
        <w:rPr>
          <w:rFonts w:asciiTheme="majorHAnsi" w:hAnsiTheme="majorHAnsi" w:cs="Arial-BoldMT"/>
          <w:b/>
          <w:bCs/>
          <w:sz w:val="24"/>
          <w:szCs w:val="24"/>
          <w:lang w:val="it-IT"/>
        </w:rPr>
        <w:t>ă civilă la 1 ianuarie 2023, pe sexe şi ramuri ale economiei naţionale</w:t>
      </w:r>
    </w:p>
    <w:p w:rsidR="00871D27" w:rsidRPr="00793447" w:rsidRDefault="00871D27" w:rsidP="00871D27">
      <w:pPr>
        <w:autoSpaceDE w:val="0"/>
        <w:autoSpaceDN w:val="0"/>
        <w:adjustRightInd w:val="0"/>
        <w:spacing w:after="0" w:line="240" w:lineRule="auto"/>
        <w:jc w:val="center"/>
        <w:rPr>
          <w:rFonts w:asciiTheme="majorHAnsi" w:hAnsiTheme="majorHAnsi" w:cs="Arial-BoldMT"/>
          <w:b/>
          <w:bCs/>
          <w:color w:val="FF0000"/>
          <w:sz w:val="24"/>
          <w:szCs w:val="24"/>
          <w:lang w:val="it-IT"/>
        </w:rPr>
      </w:pPr>
    </w:p>
    <w:p w:rsidR="00871D27" w:rsidRPr="00793447" w:rsidRDefault="00871D27" w:rsidP="00871D27">
      <w:pPr>
        <w:autoSpaceDE w:val="0"/>
        <w:autoSpaceDN w:val="0"/>
        <w:adjustRightInd w:val="0"/>
        <w:spacing w:after="0" w:line="240" w:lineRule="auto"/>
        <w:jc w:val="center"/>
        <w:rPr>
          <w:rFonts w:asciiTheme="majorHAnsi" w:hAnsiTheme="majorHAnsi" w:cs="Calibri"/>
          <w:color w:val="FF0000"/>
          <w:sz w:val="24"/>
          <w:szCs w:val="24"/>
          <w:lang w:val="ro-RO"/>
        </w:rPr>
      </w:pPr>
    </w:p>
    <w:p w:rsidR="00871D27" w:rsidRPr="00793447" w:rsidRDefault="00871D27" w:rsidP="00871D27">
      <w:pPr>
        <w:autoSpaceDE w:val="0"/>
        <w:autoSpaceDN w:val="0"/>
        <w:adjustRightInd w:val="0"/>
        <w:spacing w:after="0" w:line="240" w:lineRule="auto"/>
        <w:jc w:val="center"/>
        <w:rPr>
          <w:rFonts w:asciiTheme="majorHAnsi" w:hAnsiTheme="majorHAnsi" w:cs="Calibri"/>
          <w:color w:val="FF0000"/>
          <w:sz w:val="24"/>
          <w:szCs w:val="24"/>
          <w:lang w:val="ro-RO"/>
        </w:rPr>
      </w:pPr>
      <w:r w:rsidRPr="00793447">
        <w:rPr>
          <w:rFonts w:asciiTheme="majorHAnsi" w:hAnsiTheme="majorHAnsi" w:cs="Calibri"/>
          <w:noProof/>
          <w:color w:val="FF0000"/>
          <w:sz w:val="24"/>
          <w:szCs w:val="24"/>
        </w:rPr>
        <w:drawing>
          <wp:inline distT="0" distB="0" distL="0" distR="0" wp14:anchorId="53711B9D" wp14:editId="353D411C">
            <wp:extent cx="5745480" cy="3817620"/>
            <wp:effectExtent l="0" t="0" r="0" b="0"/>
            <wp:docPr id="16"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1D27" w:rsidRPr="00793447" w:rsidRDefault="00871D27" w:rsidP="00871D27">
      <w:pPr>
        <w:autoSpaceDE w:val="0"/>
        <w:autoSpaceDN w:val="0"/>
        <w:adjustRightInd w:val="0"/>
        <w:spacing w:after="0" w:line="240" w:lineRule="auto"/>
        <w:jc w:val="center"/>
        <w:rPr>
          <w:rFonts w:asciiTheme="majorHAnsi" w:hAnsiTheme="majorHAnsi" w:cs="Calibri-Italic"/>
          <w:i/>
          <w:iCs/>
          <w:color w:val="FF0000"/>
          <w:sz w:val="24"/>
          <w:szCs w:val="24"/>
          <w:lang w:val="pt-BR"/>
        </w:rPr>
      </w:pPr>
    </w:p>
    <w:tbl>
      <w:tblPr>
        <w:tblW w:w="9858" w:type="dxa"/>
        <w:tblLook w:val="0000" w:firstRow="0" w:lastRow="0" w:firstColumn="0" w:lastColumn="0" w:noHBand="0" w:noVBand="0"/>
      </w:tblPr>
      <w:tblGrid>
        <w:gridCol w:w="5038"/>
        <w:gridCol w:w="4820"/>
      </w:tblGrid>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A AGRICULTURA, SILVICULTURA SI PESCUIT</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J INFORMATII SI COMUNICATII</w:t>
            </w:r>
          </w:p>
        </w:tc>
      </w:tr>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B INDUSTRIA EXTRACTIVA</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lang w:val="it-IT"/>
              </w:rPr>
            </w:pPr>
            <w:r w:rsidRPr="00650430">
              <w:rPr>
                <w:rFonts w:asciiTheme="majorHAnsi" w:hAnsiTheme="majorHAnsi" w:cs="Arial"/>
                <w:bCs/>
                <w:sz w:val="18"/>
                <w:szCs w:val="18"/>
                <w:lang w:val="it-IT"/>
              </w:rPr>
              <w:t>K INTERMEDIERI FINANCIARE SI ASIGURARI</w:t>
            </w:r>
          </w:p>
        </w:tc>
      </w:tr>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C INDUSTRIA PRELUCRATOARE</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L TRANZACTII IMOBILIARE</w:t>
            </w:r>
          </w:p>
        </w:tc>
      </w:tr>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D PRODUCTIA SI FURNIZAREA DE ENERGIE ELECTRICA SI TERMICA, GAZE, APA CALDA SI AER CONDITIONAT</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lang w:val="it-IT"/>
              </w:rPr>
            </w:pPr>
            <w:r w:rsidRPr="00650430">
              <w:rPr>
                <w:rFonts w:asciiTheme="majorHAnsi" w:hAnsiTheme="majorHAnsi" w:cs="Arial"/>
                <w:bCs/>
                <w:sz w:val="18"/>
                <w:szCs w:val="18"/>
                <w:lang w:val="it-IT"/>
              </w:rPr>
              <w:t>M ACTIVITATI PROFESIONALE, STIINTIFICE SI TEHNICE</w:t>
            </w:r>
          </w:p>
        </w:tc>
      </w:tr>
      <w:tr w:rsidR="00871D27" w:rsidRPr="00793447" w:rsidTr="00AA0357">
        <w:trPr>
          <w:trHeight w:val="103"/>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lang w:val="it-IT"/>
              </w:rPr>
            </w:pPr>
            <w:r w:rsidRPr="00650430">
              <w:rPr>
                <w:rFonts w:asciiTheme="majorHAnsi" w:hAnsiTheme="majorHAnsi" w:cs="Arial"/>
                <w:bCs/>
                <w:sz w:val="18"/>
                <w:szCs w:val="18"/>
                <w:lang w:val="it-IT"/>
              </w:rPr>
              <w:t>E DISTRIBUTIA APEI; SALUBRITATE, GESTIONAREA DESEURILOR, ACTIVITATI DE DECONTAMINARE</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N ACTIVITATI DE SERVICII ADMINISTRATIVE SI ACTIVITATI DE SERVICII SUPORT</w:t>
            </w:r>
          </w:p>
        </w:tc>
      </w:tr>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F CONSTRUCTII</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lang w:val="it-IT"/>
              </w:rPr>
            </w:pPr>
            <w:r w:rsidRPr="00650430">
              <w:rPr>
                <w:rFonts w:asciiTheme="majorHAnsi" w:hAnsiTheme="majorHAnsi" w:cs="Arial"/>
                <w:bCs/>
                <w:sz w:val="18"/>
                <w:szCs w:val="18"/>
                <w:lang w:val="it-IT"/>
              </w:rPr>
              <w:t>O ADMINISTRATIE PUBLICA SI APARARE; ASIGURARI SOCIALE DIN SISTEMUL PUBLIC</w:t>
            </w:r>
          </w:p>
        </w:tc>
      </w:tr>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G COMERT CU RIDICATA SI CU AMANUNTUL; REPARAREA AUTOVEHICULELOR SI MOTOCICLETELOR</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P INVATAMANT</w:t>
            </w:r>
          </w:p>
        </w:tc>
      </w:tr>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H TRANSPORT SI DEPOZITARE</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lang w:val="it-IT"/>
              </w:rPr>
            </w:pPr>
            <w:r w:rsidRPr="00650430">
              <w:rPr>
                <w:rFonts w:asciiTheme="majorHAnsi" w:hAnsiTheme="majorHAnsi" w:cs="Arial"/>
                <w:bCs/>
                <w:sz w:val="18"/>
                <w:szCs w:val="18"/>
                <w:lang w:val="it-IT"/>
              </w:rPr>
              <w:t>Q SANATATE SI ASISTENTA SOCIALA</w:t>
            </w:r>
          </w:p>
        </w:tc>
      </w:tr>
      <w:tr w:rsidR="00871D27" w:rsidRPr="00793447" w:rsidTr="00AA0357">
        <w:trPr>
          <w:trHeight w:val="144"/>
        </w:trPr>
        <w:tc>
          <w:tcPr>
            <w:tcW w:w="5038"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I HOTELURI SI RESTAURANTE</w:t>
            </w: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lang w:val="it-IT"/>
              </w:rPr>
            </w:pPr>
            <w:r w:rsidRPr="00650430">
              <w:rPr>
                <w:rFonts w:asciiTheme="majorHAnsi" w:hAnsiTheme="majorHAnsi" w:cs="Arial"/>
                <w:bCs/>
                <w:sz w:val="18"/>
                <w:szCs w:val="18"/>
                <w:lang w:val="it-IT"/>
              </w:rPr>
              <w:t>R ACTIVITATI DE SPECTACOLE, CULTURALE SI RECREATIVE</w:t>
            </w:r>
          </w:p>
        </w:tc>
      </w:tr>
      <w:tr w:rsidR="00871D27" w:rsidRPr="00793447" w:rsidTr="00AA0357">
        <w:trPr>
          <w:trHeight w:val="144"/>
        </w:trPr>
        <w:tc>
          <w:tcPr>
            <w:tcW w:w="5038" w:type="dxa"/>
            <w:tcBorders>
              <w:top w:val="nil"/>
              <w:left w:val="nil"/>
              <w:bottom w:val="nil"/>
              <w:right w:val="nil"/>
            </w:tcBorders>
            <w:shd w:val="clear" w:color="auto" w:fill="auto"/>
            <w:noWrap/>
            <w:vAlign w:val="bottom"/>
          </w:tcPr>
          <w:p w:rsidR="00871D27" w:rsidRPr="00650430" w:rsidRDefault="00871D27" w:rsidP="00AA0357">
            <w:pPr>
              <w:spacing w:after="0" w:line="240" w:lineRule="auto"/>
              <w:rPr>
                <w:rFonts w:asciiTheme="majorHAnsi" w:hAnsiTheme="majorHAnsi" w:cs="Arial"/>
                <w:sz w:val="18"/>
                <w:szCs w:val="18"/>
                <w:lang w:val="it-IT"/>
              </w:rPr>
            </w:pPr>
          </w:p>
        </w:tc>
        <w:tc>
          <w:tcPr>
            <w:tcW w:w="4820" w:type="dxa"/>
            <w:tcBorders>
              <w:top w:val="nil"/>
              <w:left w:val="nil"/>
              <w:bottom w:val="nil"/>
              <w:right w:val="nil"/>
            </w:tcBorders>
            <w:shd w:val="clear" w:color="auto" w:fill="auto"/>
            <w:vAlign w:val="center"/>
          </w:tcPr>
          <w:p w:rsidR="00871D27" w:rsidRPr="00650430" w:rsidRDefault="00871D27" w:rsidP="00AA0357">
            <w:pPr>
              <w:spacing w:after="0" w:line="240" w:lineRule="auto"/>
              <w:rPr>
                <w:rFonts w:asciiTheme="majorHAnsi" w:hAnsiTheme="majorHAnsi" w:cs="Arial"/>
                <w:bCs/>
                <w:sz w:val="18"/>
                <w:szCs w:val="18"/>
              </w:rPr>
            </w:pPr>
            <w:r w:rsidRPr="00650430">
              <w:rPr>
                <w:rFonts w:asciiTheme="majorHAnsi" w:hAnsiTheme="majorHAnsi" w:cs="Arial"/>
                <w:bCs/>
                <w:sz w:val="18"/>
                <w:szCs w:val="18"/>
              </w:rPr>
              <w:t>S ALTE ACTIVITATI DE SERVICII</w:t>
            </w:r>
          </w:p>
        </w:tc>
      </w:tr>
    </w:tbl>
    <w:p w:rsidR="00871D27" w:rsidRPr="00793447" w:rsidRDefault="00871D27" w:rsidP="00871D27">
      <w:pPr>
        <w:pStyle w:val="BodyText"/>
        <w:tabs>
          <w:tab w:val="left" w:pos="10065"/>
        </w:tabs>
        <w:spacing w:after="0" w:line="240" w:lineRule="auto"/>
        <w:ind w:right="-124" w:firstLine="426"/>
        <w:outlineLvl w:val="0"/>
        <w:rPr>
          <w:rFonts w:asciiTheme="majorHAnsi" w:hAnsiTheme="majorHAnsi" w:cs="Calibri"/>
          <w:b/>
          <w:color w:val="FF0000"/>
          <w:sz w:val="24"/>
          <w:szCs w:val="24"/>
          <w:lang w:val="ro-RO"/>
        </w:rPr>
      </w:pPr>
    </w:p>
    <w:p w:rsidR="00F13AE6" w:rsidRPr="00793447" w:rsidRDefault="00F13AE6" w:rsidP="00871D27">
      <w:pPr>
        <w:pStyle w:val="BodyText"/>
        <w:tabs>
          <w:tab w:val="left" w:pos="10065"/>
        </w:tabs>
        <w:spacing w:after="0" w:line="240" w:lineRule="auto"/>
        <w:ind w:right="-124" w:firstLine="426"/>
        <w:outlineLvl w:val="0"/>
        <w:rPr>
          <w:rFonts w:asciiTheme="majorHAnsi" w:hAnsiTheme="majorHAnsi" w:cs="Calibri"/>
          <w:b/>
          <w:color w:val="FF0000"/>
          <w:sz w:val="24"/>
          <w:szCs w:val="24"/>
          <w:lang w:val="ro-RO"/>
        </w:rPr>
      </w:pPr>
    </w:p>
    <w:p w:rsidR="00F13AE6" w:rsidRPr="00793447" w:rsidRDefault="00F13AE6" w:rsidP="00F13AE6">
      <w:pPr>
        <w:pStyle w:val="Default"/>
        <w:ind w:firstLine="426"/>
        <w:jc w:val="both"/>
        <w:rPr>
          <w:rFonts w:asciiTheme="majorHAnsi" w:hAnsiTheme="majorHAnsi" w:cs="Calibri"/>
          <w:color w:val="auto"/>
          <w:lang w:val="ro-RO"/>
        </w:rPr>
      </w:pPr>
      <w:r w:rsidRPr="00793447">
        <w:rPr>
          <w:rFonts w:asciiTheme="majorHAnsi" w:hAnsiTheme="majorHAnsi" w:cs="Calibri"/>
          <w:color w:val="auto"/>
          <w:lang w:val="ro-RO"/>
        </w:rPr>
        <w:t xml:space="preserve">Repartizarea populaţiei ocupate civile pe sectoare de activitate evidenţiază faptul că 30,7% din persoanele ocupate lucrează în industrie, </w:t>
      </w:r>
      <w:r w:rsidR="00E469EC" w:rsidRPr="00793447">
        <w:rPr>
          <w:rFonts w:asciiTheme="majorHAnsi" w:hAnsiTheme="majorHAnsi" w:cs="Calibri"/>
          <w:color w:val="auto"/>
          <w:lang w:val="ro-RO"/>
        </w:rPr>
        <w:t>16,3% în comerţ cu ridicata şi cu amănuntul; repararea autovehiculelor şi motocicletelor, 11,0% în construcţii</w:t>
      </w:r>
      <w:r w:rsidR="00E469EC">
        <w:rPr>
          <w:rFonts w:asciiTheme="majorHAnsi" w:hAnsiTheme="majorHAnsi" w:cs="Calibri"/>
          <w:color w:val="auto"/>
          <w:lang w:val="ro-RO"/>
        </w:rPr>
        <w:t>,</w:t>
      </w:r>
      <w:r w:rsidR="00E469EC" w:rsidRPr="00793447">
        <w:rPr>
          <w:rFonts w:asciiTheme="majorHAnsi" w:hAnsiTheme="majorHAnsi" w:cs="Calibri"/>
          <w:color w:val="auto"/>
          <w:lang w:val="ro-RO"/>
        </w:rPr>
        <w:t xml:space="preserve"> </w:t>
      </w:r>
      <w:r w:rsidRPr="00793447">
        <w:rPr>
          <w:rFonts w:asciiTheme="majorHAnsi" w:hAnsiTheme="majorHAnsi" w:cs="Calibri"/>
          <w:color w:val="auto"/>
          <w:lang w:val="ro-RO"/>
        </w:rPr>
        <w:t>8,2% în agricultură, silvicultură şi pescuit, etc.</w:t>
      </w:r>
    </w:p>
    <w:p w:rsidR="00E469EC" w:rsidRPr="00E469EC" w:rsidRDefault="00E469EC" w:rsidP="00E469EC">
      <w:pPr>
        <w:pStyle w:val="Default"/>
        <w:ind w:firstLine="426"/>
        <w:jc w:val="both"/>
        <w:rPr>
          <w:rFonts w:asciiTheme="majorHAnsi" w:hAnsiTheme="majorHAnsi" w:cs="Calibri"/>
          <w:color w:val="auto"/>
          <w:lang w:val="ro-RO"/>
        </w:rPr>
      </w:pPr>
      <w:r w:rsidRPr="00E469EC">
        <w:rPr>
          <w:rFonts w:asciiTheme="majorHAnsi" w:hAnsiTheme="majorHAnsi" w:cs="Calibri"/>
          <w:color w:val="auto"/>
          <w:lang w:val="ro-RO"/>
        </w:rPr>
        <w:t>Potrivit datelor furnizate de A.J.O.F.M., l</w:t>
      </w:r>
      <w:r w:rsidR="00F13AE6" w:rsidRPr="00E469EC">
        <w:rPr>
          <w:rFonts w:asciiTheme="majorHAnsi" w:hAnsiTheme="majorHAnsi" w:cs="Calibri"/>
          <w:color w:val="auto"/>
          <w:lang w:val="ro-RO"/>
        </w:rPr>
        <w:t xml:space="preserve">a 1 ianuarie 2023, </w:t>
      </w:r>
      <w:r w:rsidRPr="00E469EC">
        <w:rPr>
          <w:rFonts w:asciiTheme="majorHAnsi" w:hAnsiTheme="majorHAnsi" w:cs="Calibri"/>
          <w:color w:val="auto"/>
          <w:lang w:val="ro-RO"/>
        </w:rPr>
        <w:t xml:space="preserve">numărul șomerilor a fost de </w:t>
      </w:r>
      <w:r w:rsidR="00F13AE6" w:rsidRPr="00E469EC">
        <w:rPr>
          <w:rFonts w:asciiTheme="majorHAnsi" w:hAnsiTheme="majorHAnsi" w:cs="Arial"/>
          <w:color w:val="auto"/>
        </w:rPr>
        <w:t>5,9</w:t>
      </w:r>
      <w:r w:rsidR="00F13AE6" w:rsidRPr="00E469EC">
        <w:rPr>
          <w:rFonts w:asciiTheme="majorHAnsi" w:hAnsiTheme="majorHAnsi" w:cs="Arial"/>
          <w:b/>
          <w:color w:val="auto"/>
        </w:rPr>
        <w:t xml:space="preserve"> </w:t>
      </w:r>
      <w:r w:rsidRPr="00E469EC">
        <w:rPr>
          <w:rFonts w:asciiTheme="majorHAnsi" w:hAnsiTheme="majorHAnsi" w:cs="Calibri"/>
          <w:color w:val="auto"/>
          <w:lang w:val="ro-RO"/>
        </w:rPr>
        <w:t>mii persoan</w:t>
      </w:r>
      <w:r>
        <w:rPr>
          <w:rFonts w:asciiTheme="majorHAnsi" w:hAnsiTheme="majorHAnsi" w:cs="Calibri"/>
          <w:color w:val="auto"/>
          <w:lang w:val="ro-RO"/>
        </w:rPr>
        <w:t>e</w:t>
      </w:r>
      <w:r w:rsidR="00F13AE6" w:rsidRPr="00E469EC">
        <w:rPr>
          <w:rFonts w:asciiTheme="majorHAnsi" w:hAnsiTheme="majorHAnsi" w:cs="Calibri"/>
          <w:color w:val="auto"/>
          <w:lang w:val="ro-RO"/>
        </w:rPr>
        <w:t>.</w:t>
      </w:r>
    </w:p>
    <w:p w:rsidR="00E469EC" w:rsidRPr="00E469EC" w:rsidRDefault="00E469EC" w:rsidP="00F13AE6">
      <w:pPr>
        <w:pStyle w:val="Default"/>
        <w:ind w:firstLine="426"/>
        <w:jc w:val="both"/>
        <w:rPr>
          <w:rFonts w:asciiTheme="majorHAnsi" w:hAnsiTheme="majorHAnsi" w:cs="Calibri"/>
          <w:color w:val="auto"/>
          <w:lang w:val="ro-RO"/>
        </w:rPr>
      </w:pPr>
      <w:r w:rsidRPr="00E469EC">
        <w:rPr>
          <w:rFonts w:asciiTheme="majorHAnsi" w:hAnsiTheme="majorHAnsi" w:cs="Calibri"/>
          <w:color w:val="auto"/>
          <w:lang w:val="ro-RO"/>
        </w:rPr>
        <w:t xml:space="preserve"> </w:t>
      </w:r>
      <w:r w:rsidR="00F13AE6" w:rsidRPr="00E469EC">
        <w:rPr>
          <w:rFonts w:asciiTheme="majorHAnsi" w:hAnsiTheme="majorHAnsi" w:cs="Calibri"/>
          <w:color w:val="auto"/>
          <w:lang w:val="ro-RO"/>
        </w:rPr>
        <w:t>Rata şomajului din Prahova, calculată prin raportarea numărului de şomeri la populaţia activă civilă la 1 ianuarie 2023, a fost de 2,2%, la fel ca cea înregistrată în 1 ianuarie 2022.</w:t>
      </w:r>
    </w:p>
    <w:p w:rsidR="00F13AE6" w:rsidRPr="00E469EC" w:rsidRDefault="00E469EC" w:rsidP="00F13AE6">
      <w:pPr>
        <w:pStyle w:val="Default"/>
        <w:ind w:firstLine="426"/>
        <w:jc w:val="both"/>
        <w:rPr>
          <w:rFonts w:asciiTheme="majorHAnsi" w:hAnsiTheme="majorHAnsi" w:cs="Calibri"/>
          <w:color w:val="auto"/>
          <w:lang w:val="ro-RO"/>
        </w:rPr>
      </w:pPr>
      <w:r w:rsidRPr="00E469EC">
        <w:rPr>
          <w:rFonts w:asciiTheme="majorHAnsi" w:hAnsiTheme="majorHAnsi" w:cs="Calibri"/>
          <w:color w:val="auto"/>
          <w:lang w:val="ro-RO"/>
        </w:rPr>
        <w:t>Un segment important al populației ocupate îl reprezintă efectivul de salariați.</w:t>
      </w:r>
    </w:p>
    <w:p w:rsidR="00F13AE6" w:rsidRPr="00E469EC" w:rsidRDefault="00F13AE6" w:rsidP="00F13AE6">
      <w:pPr>
        <w:rPr>
          <w:rFonts w:asciiTheme="majorHAnsi" w:hAnsiTheme="majorHAnsi"/>
          <w:sz w:val="24"/>
          <w:szCs w:val="24"/>
        </w:rPr>
      </w:pPr>
    </w:p>
    <w:p w:rsidR="00871D27" w:rsidRPr="00E469EC" w:rsidRDefault="00871D27" w:rsidP="00871D27">
      <w:pPr>
        <w:rPr>
          <w:rFonts w:asciiTheme="majorHAnsi" w:hAnsiTheme="majorHAnsi"/>
          <w:sz w:val="24"/>
          <w:szCs w:val="24"/>
        </w:rPr>
      </w:pPr>
    </w:p>
    <w:p w:rsidR="00871D27" w:rsidRDefault="00871D27" w:rsidP="00871D27">
      <w:pPr>
        <w:autoSpaceDE w:val="0"/>
        <w:autoSpaceDN w:val="0"/>
        <w:adjustRightInd w:val="0"/>
        <w:spacing w:after="0" w:line="240" w:lineRule="auto"/>
        <w:jc w:val="both"/>
        <w:rPr>
          <w:rFonts w:asciiTheme="majorHAnsi" w:hAnsiTheme="majorHAnsi"/>
          <w:color w:val="FF0000"/>
          <w:sz w:val="24"/>
          <w:szCs w:val="24"/>
        </w:rPr>
      </w:pPr>
    </w:p>
    <w:p w:rsidR="00E469EC" w:rsidRPr="00793447" w:rsidRDefault="00E469EC" w:rsidP="00871D27">
      <w:pPr>
        <w:autoSpaceDE w:val="0"/>
        <w:autoSpaceDN w:val="0"/>
        <w:adjustRightInd w:val="0"/>
        <w:spacing w:after="0" w:line="240" w:lineRule="auto"/>
        <w:jc w:val="both"/>
        <w:rPr>
          <w:rFonts w:asciiTheme="majorHAnsi" w:hAnsiTheme="majorHAnsi"/>
          <w:color w:val="FF0000"/>
          <w:sz w:val="24"/>
          <w:szCs w:val="24"/>
        </w:rPr>
      </w:pPr>
    </w:p>
    <w:p w:rsidR="00871D27" w:rsidRPr="00793447" w:rsidRDefault="00871D27" w:rsidP="00871D27">
      <w:pPr>
        <w:pStyle w:val="Heading1"/>
        <w:spacing w:line="240" w:lineRule="auto"/>
        <w:rPr>
          <w:rFonts w:asciiTheme="majorHAnsi" w:hAnsiTheme="majorHAnsi"/>
          <w:i/>
          <w:sz w:val="24"/>
          <w:szCs w:val="24"/>
          <w:vertAlign w:val="superscript"/>
        </w:rPr>
        <w:sectPr w:rsidR="00871D27" w:rsidRPr="00793447" w:rsidSect="00E469EC">
          <w:footnotePr>
            <w:pos w:val="beneathText"/>
          </w:footnotePr>
          <w:type w:val="continuous"/>
          <w:pgSz w:w="11907" w:h="16840" w:code="9"/>
          <w:pgMar w:top="1134" w:right="1134" w:bottom="1134" w:left="1134" w:header="567" w:footer="170" w:gutter="0"/>
          <w:cols w:space="708"/>
          <w:titlePg/>
          <w:docGrid w:linePitch="326"/>
        </w:sectPr>
      </w:pPr>
      <w:r w:rsidRPr="00793447">
        <w:rPr>
          <w:rFonts w:asciiTheme="majorHAnsi" w:hAnsiTheme="majorHAnsi"/>
          <w:i/>
          <w:sz w:val="24"/>
          <w:szCs w:val="24"/>
        </w:rPr>
        <w:t xml:space="preserve">Efectivul salariaților </w:t>
      </w:r>
      <w:r w:rsidRPr="00793447">
        <w:rPr>
          <w:rFonts w:asciiTheme="majorHAnsi" w:hAnsiTheme="majorHAnsi"/>
          <w:i/>
          <w:sz w:val="24"/>
          <w:szCs w:val="24"/>
          <w:vertAlign w:val="superscript"/>
        </w:rPr>
        <w:footnoteReference w:id="5"/>
      </w:r>
      <w:r w:rsidR="00930B66">
        <w:rPr>
          <w:rFonts w:asciiTheme="majorHAnsi" w:hAnsiTheme="majorHAnsi"/>
          <w:i/>
          <w:sz w:val="24"/>
          <w:szCs w:val="24"/>
        </w:rPr>
        <w:t xml:space="preserve"> </w:t>
      </w:r>
      <w:r w:rsidR="00E469EC">
        <w:rPr>
          <w:rFonts w:asciiTheme="majorHAnsi" w:hAnsiTheme="majorHAnsi"/>
          <w:i/>
          <w:sz w:val="24"/>
          <w:szCs w:val="24"/>
        </w:rPr>
        <w:t>la sfârșitul lunii iunie 2023</w:t>
      </w:r>
    </w:p>
    <w:p w:rsidR="00871D27" w:rsidRDefault="00871D27" w:rsidP="00871D27">
      <w:pPr>
        <w:pStyle w:val="Heading1"/>
        <w:spacing w:line="240" w:lineRule="auto"/>
        <w:rPr>
          <w:rFonts w:asciiTheme="majorHAnsi" w:hAnsiTheme="majorHAnsi"/>
          <w:i/>
          <w:sz w:val="24"/>
          <w:szCs w:val="24"/>
          <w:vertAlign w:val="superscript"/>
        </w:rPr>
      </w:pPr>
    </w:p>
    <w:p w:rsidR="00E469EC" w:rsidRPr="00E469EC" w:rsidRDefault="00E469EC" w:rsidP="00E469EC">
      <w:pPr>
        <w:rPr>
          <w:lang w:val="ro-RO"/>
        </w:rPr>
      </w:pPr>
    </w:p>
    <w:p w:rsidR="00871D27" w:rsidRPr="00793447" w:rsidRDefault="00871D27" w:rsidP="00871D27">
      <w:pPr>
        <w:spacing w:after="0" w:line="240" w:lineRule="auto"/>
        <w:rPr>
          <w:rFonts w:asciiTheme="majorHAnsi" w:hAnsiTheme="majorHAnsi" w:cs="Arial"/>
          <w:color w:val="FF0000"/>
          <w:sz w:val="24"/>
          <w:szCs w:val="24"/>
        </w:rPr>
      </w:pPr>
    </w:p>
    <w:p w:rsidR="00F13AE6" w:rsidRPr="00793447" w:rsidRDefault="00F13AE6" w:rsidP="00F13AE6">
      <w:pPr>
        <w:spacing w:after="0" w:line="240" w:lineRule="auto"/>
        <w:ind w:firstLine="709"/>
        <w:jc w:val="both"/>
        <w:rPr>
          <w:rFonts w:asciiTheme="majorHAnsi" w:hAnsiTheme="majorHAnsi" w:cs="Arial"/>
          <w:sz w:val="24"/>
          <w:szCs w:val="24"/>
        </w:rPr>
      </w:pPr>
      <w:r w:rsidRPr="00793447">
        <w:rPr>
          <w:rFonts w:asciiTheme="majorHAnsi" w:hAnsiTheme="majorHAnsi" w:cs="Arial"/>
          <w:sz w:val="24"/>
          <w:szCs w:val="24"/>
        </w:rPr>
        <w:t>Efectivul salariaţilor din judeţul Prahova, la sfârşitul lunii iunie 2023</w:t>
      </w:r>
      <w:r w:rsidR="00E469EC">
        <w:rPr>
          <w:rFonts w:asciiTheme="majorHAnsi" w:hAnsiTheme="majorHAnsi" w:cs="Arial"/>
          <w:sz w:val="24"/>
          <w:szCs w:val="24"/>
        </w:rPr>
        <w:t>,</w:t>
      </w:r>
      <w:r w:rsidRPr="00793447">
        <w:rPr>
          <w:rFonts w:asciiTheme="majorHAnsi" w:hAnsiTheme="majorHAnsi" w:cs="Arial"/>
          <w:sz w:val="24"/>
          <w:szCs w:val="24"/>
        </w:rPr>
        <w:t xml:space="preserve"> a fost de 189375 persoane, cu 3008 persoane mai mare faţă de luna iunie 2022.</w:t>
      </w:r>
    </w:p>
    <w:p w:rsidR="00E469EC" w:rsidRDefault="00E469EC" w:rsidP="00F13AE6">
      <w:pPr>
        <w:pStyle w:val="BodyTextIndent2"/>
        <w:spacing w:line="240" w:lineRule="auto"/>
        <w:ind w:left="0" w:firstLine="720"/>
        <w:jc w:val="both"/>
        <w:rPr>
          <w:rFonts w:asciiTheme="majorHAnsi" w:hAnsiTheme="majorHAnsi"/>
          <w:sz w:val="24"/>
          <w:szCs w:val="24"/>
          <w:lang w:val="fr-FR"/>
        </w:rPr>
      </w:pPr>
    </w:p>
    <w:p w:rsidR="00F13AE6" w:rsidRPr="00793447" w:rsidRDefault="00F13AE6" w:rsidP="00F13AE6">
      <w:pPr>
        <w:pStyle w:val="BodyTextIndent2"/>
        <w:spacing w:line="240" w:lineRule="auto"/>
        <w:ind w:left="0" w:firstLine="720"/>
        <w:jc w:val="both"/>
        <w:rPr>
          <w:rFonts w:asciiTheme="majorHAnsi" w:hAnsiTheme="majorHAnsi"/>
          <w:sz w:val="24"/>
          <w:szCs w:val="24"/>
          <w:lang w:val="fr-FR"/>
        </w:rPr>
      </w:pPr>
      <w:r w:rsidRPr="00793447">
        <w:rPr>
          <w:rFonts w:asciiTheme="majorHAnsi" w:hAnsiTheme="majorHAnsi"/>
          <w:sz w:val="24"/>
          <w:szCs w:val="24"/>
          <w:lang w:val="fr-FR"/>
        </w:rPr>
        <w:t>La sfârșitul lunii iunie 2023, în județul Prahova, 56,7% din salariați lucrau în activități de servicii, 41,6%, în industrie și construcții și 1,7% în agricultură, vânătoare şi servicii anexe, silvicultură şi pescuit.</w:t>
      </w:r>
    </w:p>
    <w:p w:rsidR="00E469EC" w:rsidRDefault="00E469EC" w:rsidP="00F13AE6">
      <w:pPr>
        <w:pStyle w:val="BodyTextIndent2"/>
        <w:spacing w:line="240" w:lineRule="auto"/>
        <w:ind w:left="0" w:firstLine="720"/>
        <w:jc w:val="both"/>
        <w:rPr>
          <w:rFonts w:asciiTheme="majorHAnsi" w:hAnsiTheme="majorHAnsi"/>
          <w:sz w:val="24"/>
          <w:szCs w:val="24"/>
          <w:lang w:val="fr-FR"/>
        </w:rPr>
      </w:pPr>
    </w:p>
    <w:p w:rsidR="00F13AE6" w:rsidRPr="00793447" w:rsidRDefault="00F13AE6" w:rsidP="00F13AE6">
      <w:pPr>
        <w:pStyle w:val="BodyTextIndent2"/>
        <w:spacing w:line="240" w:lineRule="auto"/>
        <w:ind w:left="0" w:firstLine="720"/>
        <w:jc w:val="both"/>
        <w:rPr>
          <w:rFonts w:asciiTheme="majorHAnsi" w:hAnsiTheme="majorHAnsi"/>
          <w:sz w:val="24"/>
          <w:szCs w:val="24"/>
          <w:lang w:val="fr-FR"/>
        </w:rPr>
      </w:pPr>
      <w:r w:rsidRPr="00793447">
        <w:rPr>
          <w:rFonts w:asciiTheme="majorHAnsi" w:hAnsiTheme="majorHAnsi"/>
          <w:sz w:val="24"/>
          <w:szCs w:val="24"/>
          <w:lang w:val="fr-FR"/>
        </w:rPr>
        <w:t>Salariaţii din judeţul Prahova reprezintă 3,3% din totalul salariaţilor înregistrați la nivel național.</w:t>
      </w:r>
    </w:p>
    <w:p w:rsidR="00AA0357" w:rsidRPr="00793447" w:rsidRDefault="00AA0357" w:rsidP="00871D27">
      <w:pPr>
        <w:pStyle w:val="BodyTextIndent2"/>
        <w:spacing w:line="240" w:lineRule="auto"/>
        <w:ind w:left="0" w:firstLine="720"/>
        <w:jc w:val="both"/>
        <w:rPr>
          <w:rFonts w:asciiTheme="majorHAnsi" w:hAnsiTheme="majorHAnsi"/>
          <w:sz w:val="24"/>
          <w:szCs w:val="24"/>
          <w:lang w:val="fr-FR"/>
        </w:rPr>
      </w:pPr>
    </w:p>
    <w:p w:rsidR="00AA0357" w:rsidRPr="00793447" w:rsidRDefault="00552566" w:rsidP="00E469EC">
      <w:pPr>
        <w:pStyle w:val="BodyTextIndent2"/>
        <w:spacing w:line="240" w:lineRule="auto"/>
        <w:ind w:left="0"/>
        <w:jc w:val="both"/>
        <w:rPr>
          <w:rFonts w:asciiTheme="majorHAnsi" w:hAnsiTheme="majorHAnsi"/>
          <w:sz w:val="24"/>
          <w:szCs w:val="24"/>
          <w:lang w:val="fr-FR"/>
        </w:rPr>
      </w:pPr>
      <w:r w:rsidRPr="00793447">
        <w:rPr>
          <w:rFonts w:asciiTheme="majorHAnsi" w:hAnsiTheme="majorHAnsi"/>
          <w:noProof/>
          <w:sz w:val="24"/>
          <w:szCs w:val="24"/>
        </w:rPr>
        <w:drawing>
          <wp:inline distT="0" distB="0" distL="0" distR="0" wp14:anchorId="09F7984E" wp14:editId="7A9AA699">
            <wp:extent cx="5972175" cy="3704897"/>
            <wp:effectExtent l="0" t="0" r="9525"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A0357" w:rsidRDefault="00AA0357" w:rsidP="00871D27">
      <w:pPr>
        <w:pStyle w:val="BodyTextIndent2"/>
        <w:spacing w:line="240" w:lineRule="auto"/>
        <w:ind w:left="0" w:firstLine="720"/>
        <w:jc w:val="both"/>
        <w:rPr>
          <w:rFonts w:asciiTheme="majorHAnsi" w:hAnsiTheme="majorHAnsi"/>
          <w:sz w:val="24"/>
          <w:szCs w:val="24"/>
          <w:lang w:val="fr-FR"/>
        </w:rPr>
      </w:pPr>
    </w:p>
    <w:p w:rsidR="00871D27" w:rsidRPr="00793447" w:rsidRDefault="00871D27" w:rsidP="00871D27">
      <w:pPr>
        <w:spacing w:after="0" w:line="240" w:lineRule="auto"/>
        <w:ind w:firstLine="540"/>
        <w:jc w:val="both"/>
        <w:rPr>
          <w:rFonts w:asciiTheme="majorHAnsi" w:hAnsiTheme="majorHAnsi" w:cs="Arial"/>
          <w:color w:val="FF0000"/>
          <w:sz w:val="24"/>
          <w:szCs w:val="24"/>
        </w:rPr>
      </w:pPr>
    </w:p>
    <w:p w:rsidR="00F13AE6" w:rsidRPr="00793447" w:rsidRDefault="00F13AE6" w:rsidP="00F13AE6">
      <w:pPr>
        <w:pStyle w:val="BodyTextIndent2"/>
        <w:spacing w:line="240" w:lineRule="auto"/>
        <w:ind w:left="0" w:firstLine="540"/>
        <w:jc w:val="both"/>
        <w:rPr>
          <w:rFonts w:asciiTheme="majorHAnsi" w:hAnsiTheme="majorHAnsi"/>
          <w:sz w:val="24"/>
          <w:szCs w:val="24"/>
          <w:lang w:val="fr-FR"/>
        </w:rPr>
      </w:pPr>
      <w:r w:rsidRPr="00793447">
        <w:rPr>
          <w:rFonts w:asciiTheme="majorHAnsi" w:hAnsiTheme="majorHAnsi"/>
          <w:sz w:val="24"/>
          <w:szCs w:val="24"/>
          <w:lang w:val="fr-FR"/>
        </w:rPr>
        <w:t xml:space="preserve">Efectivul salariaţilor la sfârşitul lunii iunie 2023, </w:t>
      </w:r>
      <w:r w:rsidRPr="00793447">
        <w:rPr>
          <w:rFonts w:asciiTheme="majorHAnsi" w:hAnsiTheme="majorHAnsi" w:cs="Arial"/>
          <w:sz w:val="24"/>
          <w:szCs w:val="24"/>
        </w:rPr>
        <w:t xml:space="preserve">189375 persoane, </w:t>
      </w:r>
      <w:r w:rsidRPr="00793447">
        <w:rPr>
          <w:rFonts w:asciiTheme="majorHAnsi" w:hAnsiTheme="majorHAnsi"/>
          <w:sz w:val="24"/>
          <w:szCs w:val="24"/>
          <w:lang w:val="fr-FR"/>
        </w:rPr>
        <w:t>clasează judeţul Prahova pe locul al  8-lea pe ţară după: Bucure</w:t>
      </w:r>
      <w:r w:rsidRPr="00793447">
        <w:rPr>
          <w:rFonts w:asciiTheme="majorHAnsi" w:hAnsiTheme="majorHAnsi"/>
          <w:sz w:val="24"/>
          <w:szCs w:val="24"/>
          <w:lang w:val="ro-RO"/>
        </w:rPr>
        <w:t>ş</w:t>
      </w:r>
      <w:r w:rsidRPr="00793447">
        <w:rPr>
          <w:rFonts w:asciiTheme="majorHAnsi" w:hAnsiTheme="majorHAnsi"/>
          <w:sz w:val="24"/>
          <w:szCs w:val="24"/>
          <w:lang w:val="fr-FR"/>
        </w:rPr>
        <w:t xml:space="preserve">ti (1077740 persoane), Cluj (280766 persoane), Timiş (266903 persoane), </w:t>
      </w:r>
      <w:r w:rsidRPr="00793447">
        <w:rPr>
          <w:rFonts w:asciiTheme="majorHAnsi" w:hAnsiTheme="majorHAnsi"/>
          <w:sz w:val="24"/>
          <w:szCs w:val="24"/>
          <w:lang w:val="ro-RO"/>
        </w:rPr>
        <w:t xml:space="preserve">Brașov (199605 persoane), </w:t>
      </w:r>
      <w:r w:rsidRPr="00793447">
        <w:rPr>
          <w:rFonts w:asciiTheme="majorHAnsi" w:hAnsiTheme="majorHAnsi"/>
          <w:sz w:val="24"/>
          <w:szCs w:val="24"/>
          <w:lang w:val="fr-FR"/>
        </w:rPr>
        <w:t xml:space="preserve">Constanţa (199094 persoane), </w:t>
      </w:r>
      <w:r w:rsidRPr="00793447">
        <w:rPr>
          <w:rFonts w:asciiTheme="majorHAnsi" w:hAnsiTheme="majorHAnsi"/>
          <w:sz w:val="24"/>
          <w:szCs w:val="24"/>
          <w:lang w:val="ro-RO"/>
        </w:rPr>
        <w:t>Iași (193587 persoane), Ilfov (191576 persoane)</w:t>
      </w:r>
      <w:r w:rsidRPr="00793447">
        <w:rPr>
          <w:rFonts w:asciiTheme="majorHAnsi" w:hAnsiTheme="majorHAnsi"/>
          <w:sz w:val="24"/>
          <w:szCs w:val="24"/>
          <w:lang w:val="fr-FR"/>
        </w:rPr>
        <w:t>.  Judeţele cu cel mai mic efectiv de salariaţi sunt: Giurgiu (40467 persoane), Mehedin</w:t>
      </w:r>
      <w:r w:rsidRPr="00793447">
        <w:rPr>
          <w:rFonts w:asciiTheme="majorHAnsi" w:hAnsiTheme="majorHAnsi"/>
          <w:sz w:val="24"/>
          <w:szCs w:val="24"/>
          <w:lang w:val="ro-RO"/>
        </w:rPr>
        <w:t xml:space="preserve">ţi </w:t>
      </w:r>
      <w:r w:rsidRPr="00793447">
        <w:rPr>
          <w:rFonts w:asciiTheme="majorHAnsi" w:hAnsiTheme="majorHAnsi"/>
          <w:sz w:val="24"/>
          <w:szCs w:val="24"/>
          <w:lang w:val="fr-FR"/>
        </w:rPr>
        <w:t xml:space="preserve">(46930 persoane), Călărași (48786 persoane).  </w:t>
      </w:r>
    </w:p>
    <w:p w:rsidR="00871D27" w:rsidRPr="00793447" w:rsidRDefault="00552566" w:rsidP="00871D27">
      <w:pPr>
        <w:pStyle w:val="BodyTextIndent2"/>
        <w:spacing w:line="240" w:lineRule="auto"/>
        <w:ind w:left="0" w:firstLine="540"/>
        <w:jc w:val="center"/>
        <w:rPr>
          <w:rFonts w:asciiTheme="majorHAnsi" w:hAnsiTheme="majorHAnsi"/>
          <w:i/>
          <w:color w:val="FF0000"/>
          <w:sz w:val="24"/>
          <w:szCs w:val="24"/>
          <w:lang w:val="fr-FR"/>
        </w:rPr>
      </w:pPr>
      <w:r w:rsidRPr="00793447">
        <w:rPr>
          <w:rFonts w:asciiTheme="majorHAnsi" w:hAnsiTheme="majorHAnsi"/>
          <w:i/>
          <w:noProof/>
          <w:color w:val="FF0000"/>
          <w:sz w:val="24"/>
          <w:szCs w:val="24"/>
        </w:rPr>
        <w:drawing>
          <wp:inline distT="0" distB="0" distL="0" distR="0" wp14:anchorId="19F6399D" wp14:editId="160D0398">
            <wp:extent cx="5486400" cy="7583214"/>
            <wp:effectExtent l="0" t="0" r="0" b="177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1D27" w:rsidRPr="00793447" w:rsidRDefault="00871D27" w:rsidP="00871D27">
      <w:pPr>
        <w:pStyle w:val="BodyTextIndent2"/>
        <w:spacing w:line="240" w:lineRule="auto"/>
        <w:ind w:left="0"/>
        <w:jc w:val="center"/>
        <w:rPr>
          <w:rFonts w:asciiTheme="majorHAnsi" w:hAnsiTheme="majorHAnsi"/>
          <w:color w:val="FF0000"/>
          <w:sz w:val="24"/>
          <w:szCs w:val="24"/>
          <w:lang w:val="fr-FR"/>
        </w:rPr>
      </w:pPr>
    </w:p>
    <w:p w:rsidR="00871D27" w:rsidRPr="00793447" w:rsidRDefault="00871D27" w:rsidP="00871D27">
      <w:pPr>
        <w:ind w:left="2421" w:hanging="261"/>
        <w:rPr>
          <w:rFonts w:asciiTheme="majorHAnsi" w:hAnsiTheme="majorHAnsi"/>
          <w:i/>
          <w:sz w:val="24"/>
          <w:szCs w:val="24"/>
          <w:lang w:val="it-IT"/>
        </w:rPr>
      </w:pPr>
      <w:r w:rsidRPr="00793447">
        <w:rPr>
          <w:rFonts w:asciiTheme="majorHAnsi" w:hAnsiTheme="majorHAnsi"/>
          <w:i/>
          <w:sz w:val="24"/>
          <w:szCs w:val="24"/>
          <w:lang w:val="it-IT"/>
        </w:rPr>
        <w:t>* in grafic nu este inclus Municipiul Bucuresti</w:t>
      </w:r>
    </w:p>
    <w:p w:rsidR="00871D27" w:rsidRPr="00793447" w:rsidRDefault="00871D27" w:rsidP="00871D27">
      <w:pPr>
        <w:spacing w:after="0" w:line="240" w:lineRule="auto"/>
        <w:ind w:firstLine="540"/>
        <w:jc w:val="both"/>
        <w:rPr>
          <w:rFonts w:asciiTheme="majorHAnsi" w:hAnsiTheme="majorHAnsi" w:cs="Arial"/>
          <w:color w:val="FF0000"/>
          <w:sz w:val="24"/>
          <w:szCs w:val="24"/>
        </w:rPr>
      </w:pPr>
    </w:p>
    <w:p w:rsidR="00871D27" w:rsidRPr="00793447" w:rsidRDefault="00871D27" w:rsidP="00871D27">
      <w:pPr>
        <w:spacing w:after="0" w:line="240" w:lineRule="auto"/>
        <w:ind w:firstLine="540"/>
        <w:jc w:val="both"/>
        <w:rPr>
          <w:rFonts w:asciiTheme="majorHAnsi" w:hAnsiTheme="majorHAnsi" w:cs="Arial"/>
          <w:color w:val="FF0000"/>
          <w:sz w:val="24"/>
          <w:szCs w:val="24"/>
        </w:rPr>
      </w:pPr>
    </w:p>
    <w:p w:rsidR="00871D27" w:rsidRDefault="00871D27" w:rsidP="00871D27">
      <w:pPr>
        <w:spacing w:after="0" w:line="240" w:lineRule="auto"/>
        <w:ind w:firstLine="540"/>
        <w:jc w:val="both"/>
        <w:rPr>
          <w:rFonts w:asciiTheme="majorHAnsi" w:hAnsiTheme="majorHAnsi" w:cs="Arial"/>
          <w:color w:val="FF0000"/>
          <w:sz w:val="24"/>
          <w:szCs w:val="24"/>
        </w:rPr>
      </w:pPr>
    </w:p>
    <w:p w:rsidR="00E469EC" w:rsidRDefault="00E469EC" w:rsidP="00871D27">
      <w:pPr>
        <w:spacing w:after="0" w:line="240" w:lineRule="auto"/>
        <w:ind w:firstLine="540"/>
        <w:jc w:val="both"/>
        <w:rPr>
          <w:rFonts w:asciiTheme="majorHAnsi" w:hAnsiTheme="majorHAnsi" w:cs="Arial"/>
          <w:color w:val="FF0000"/>
          <w:sz w:val="24"/>
          <w:szCs w:val="24"/>
        </w:rPr>
      </w:pPr>
    </w:p>
    <w:p w:rsidR="00E469EC" w:rsidRPr="00793447" w:rsidRDefault="00E469EC" w:rsidP="00871D27">
      <w:pPr>
        <w:spacing w:after="0" w:line="240" w:lineRule="auto"/>
        <w:ind w:firstLine="540"/>
        <w:jc w:val="both"/>
        <w:rPr>
          <w:rFonts w:asciiTheme="majorHAnsi" w:hAnsiTheme="majorHAnsi" w:cs="Arial"/>
          <w:color w:val="FF0000"/>
          <w:sz w:val="24"/>
          <w:szCs w:val="24"/>
        </w:rPr>
      </w:pPr>
    </w:p>
    <w:p w:rsidR="00871D27" w:rsidRPr="00793447" w:rsidRDefault="00871D27" w:rsidP="00871D27">
      <w:pPr>
        <w:spacing w:after="0" w:line="240" w:lineRule="auto"/>
        <w:ind w:firstLine="540"/>
        <w:jc w:val="both"/>
        <w:rPr>
          <w:rFonts w:asciiTheme="majorHAnsi" w:hAnsiTheme="majorHAnsi" w:cs="Arial"/>
          <w:color w:val="FF0000"/>
          <w:sz w:val="24"/>
          <w:szCs w:val="24"/>
        </w:rPr>
      </w:pPr>
    </w:p>
    <w:p w:rsidR="00871D27" w:rsidRPr="00793447" w:rsidRDefault="00871D27" w:rsidP="00871D27">
      <w:pPr>
        <w:spacing w:after="0" w:line="240" w:lineRule="auto"/>
        <w:jc w:val="both"/>
        <w:rPr>
          <w:rFonts w:asciiTheme="majorHAnsi" w:hAnsiTheme="majorHAnsi" w:cs="Arial"/>
          <w:b/>
          <w:bCs/>
          <w:i/>
          <w:sz w:val="24"/>
          <w:szCs w:val="24"/>
          <w:lang w:val="pt-BR"/>
        </w:rPr>
      </w:pPr>
      <w:r w:rsidRPr="00793447">
        <w:rPr>
          <w:rFonts w:asciiTheme="majorHAnsi" w:hAnsiTheme="majorHAnsi" w:cs="Arial"/>
          <w:b/>
          <w:bCs/>
          <w:i/>
          <w:sz w:val="24"/>
          <w:szCs w:val="24"/>
          <w:lang w:val="pt-BR"/>
        </w:rPr>
        <w:t>Câştigul salarial</w:t>
      </w:r>
      <w:r w:rsidR="00E469EC">
        <w:rPr>
          <w:rFonts w:asciiTheme="majorHAnsi" w:hAnsiTheme="majorHAnsi" w:cs="Arial"/>
          <w:b/>
          <w:bCs/>
          <w:i/>
          <w:sz w:val="24"/>
          <w:szCs w:val="24"/>
          <w:lang w:val="pt-BR"/>
        </w:rPr>
        <w:t xml:space="preserve"> din luna iunie 2023</w:t>
      </w:r>
    </w:p>
    <w:p w:rsidR="00871D27" w:rsidRPr="00793447" w:rsidRDefault="00871D27" w:rsidP="00871D27">
      <w:pPr>
        <w:spacing w:after="0" w:line="240" w:lineRule="auto"/>
        <w:ind w:firstLine="540"/>
        <w:jc w:val="both"/>
        <w:rPr>
          <w:rFonts w:asciiTheme="majorHAnsi" w:hAnsiTheme="majorHAnsi" w:cs="Arial"/>
          <w:color w:val="FF0000"/>
          <w:sz w:val="24"/>
          <w:szCs w:val="24"/>
        </w:rPr>
      </w:pPr>
    </w:p>
    <w:p w:rsidR="00F13AE6" w:rsidRPr="00793447" w:rsidRDefault="00871D27" w:rsidP="00F13AE6">
      <w:pPr>
        <w:spacing w:after="0" w:line="240" w:lineRule="auto"/>
        <w:ind w:firstLine="540"/>
        <w:jc w:val="both"/>
        <w:rPr>
          <w:rFonts w:asciiTheme="majorHAnsi" w:hAnsiTheme="majorHAnsi" w:cs="Arial"/>
          <w:sz w:val="24"/>
          <w:szCs w:val="24"/>
          <w:lang w:val="pt-BR"/>
        </w:rPr>
      </w:pPr>
      <w:r w:rsidRPr="00793447">
        <w:rPr>
          <w:rFonts w:asciiTheme="majorHAnsi" w:hAnsiTheme="majorHAnsi" w:cs="Arial"/>
          <w:sz w:val="24"/>
          <w:szCs w:val="24"/>
        </w:rPr>
        <w:t xml:space="preserve"> </w:t>
      </w:r>
      <w:r w:rsidR="00F13AE6" w:rsidRPr="00793447">
        <w:rPr>
          <w:rFonts w:asciiTheme="majorHAnsi" w:hAnsiTheme="majorHAnsi" w:cs="Arial"/>
          <w:sz w:val="24"/>
          <w:szCs w:val="24"/>
          <w:lang w:val="pt-BR"/>
        </w:rPr>
        <w:t xml:space="preserve">Câştigul salarial mediu brut  în luna iunie 2023 a fost de 6641 lei/salariat, mai mare cu 19,8% faţă de luna iunie 2022. Comparativ cu luna precedentă, câştigul </w:t>
      </w:r>
      <w:r w:rsidR="002F147D">
        <w:rPr>
          <w:rFonts w:asciiTheme="majorHAnsi" w:hAnsiTheme="majorHAnsi" w:cs="Arial"/>
          <w:sz w:val="24"/>
          <w:szCs w:val="24"/>
          <w:lang w:val="pt-BR"/>
        </w:rPr>
        <w:t xml:space="preserve">salarial </w:t>
      </w:r>
      <w:r w:rsidR="00F13AE6" w:rsidRPr="00793447">
        <w:rPr>
          <w:rFonts w:asciiTheme="majorHAnsi" w:hAnsiTheme="majorHAnsi" w:cs="Arial"/>
          <w:sz w:val="24"/>
          <w:szCs w:val="24"/>
          <w:lang w:val="pt-BR"/>
        </w:rPr>
        <w:t xml:space="preserve">mediu brut a crescut cu 117 lei. </w:t>
      </w:r>
    </w:p>
    <w:p w:rsidR="00F13AE6" w:rsidRPr="00793447" w:rsidRDefault="00F13AE6" w:rsidP="00D47BB8">
      <w:pPr>
        <w:spacing w:after="0" w:line="240" w:lineRule="auto"/>
        <w:ind w:firstLine="567"/>
        <w:jc w:val="both"/>
        <w:rPr>
          <w:rFonts w:asciiTheme="majorHAnsi" w:hAnsiTheme="majorHAnsi" w:cs="Arial"/>
          <w:sz w:val="24"/>
          <w:szCs w:val="24"/>
        </w:rPr>
      </w:pPr>
      <w:r w:rsidRPr="00793447">
        <w:rPr>
          <w:rFonts w:asciiTheme="majorHAnsi" w:hAnsiTheme="majorHAnsi" w:cs="Arial"/>
          <w:sz w:val="24"/>
          <w:szCs w:val="24"/>
        </w:rPr>
        <w:t>Câştigul salarial mediu nominal net</w:t>
      </w:r>
      <w:r w:rsidRPr="00793447">
        <w:rPr>
          <w:rFonts w:asciiTheme="majorHAnsi" w:hAnsiTheme="majorHAnsi" w:cs="Arial"/>
          <w:b/>
          <w:sz w:val="24"/>
          <w:szCs w:val="24"/>
        </w:rPr>
        <w:t xml:space="preserve"> </w:t>
      </w:r>
      <w:r w:rsidRPr="00793447">
        <w:rPr>
          <w:rFonts w:asciiTheme="majorHAnsi" w:hAnsiTheme="majorHAnsi" w:cs="Arial"/>
          <w:sz w:val="24"/>
          <w:szCs w:val="24"/>
        </w:rPr>
        <w:t>din luna iunie 202</w:t>
      </w:r>
      <w:r w:rsidR="00D47BB8" w:rsidRPr="00793447">
        <w:rPr>
          <w:rFonts w:asciiTheme="majorHAnsi" w:hAnsiTheme="majorHAnsi" w:cs="Arial"/>
          <w:sz w:val="24"/>
          <w:szCs w:val="24"/>
        </w:rPr>
        <w:t>3</w:t>
      </w:r>
      <w:r w:rsidRPr="00793447">
        <w:rPr>
          <w:rFonts w:asciiTheme="majorHAnsi" w:hAnsiTheme="majorHAnsi" w:cs="Arial"/>
          <w:b/>
          <w:sz w:val="24"/>
          <w:szCs w:val="24"/>
        </w:rPr>
        <w:t xml:space="preserve"> </w:t>
      </w:r>
      <w:r w:rsidRPr="00793447">
        <w:rPr>
          <w:rFonts w:asciiTheme="majorHAnsi" w:hAnsiTheme="majorHAnsi" w:cs="Arial"/>
          <w:sz w:val="24"/>
          <w:szCs w:val="24"/>
        </w:rPr>
        <w:t xml:space="preserve">a fost de 4216 </w:t>
      </w:r>
      <w:r w:rsidR="002F147D" w:rsidRPr="00793447">
        <w:rPr>
          <w:rFonts w:asciiTheme="majorHAnsi" w:hAnsiTheme="majorHAnsi" w:cs="Arial"/>
          <w:sz w:val="24"/>
          <w:szCs w:val="24"/>
          <w:lang w:val="pt-BR"/>
        </w:rPr>
        <w:t>lei/salariat</w:t>
      </w:r>
      <w:r w:rsidRPr="00793447">
        <w:rPr>
          <w:rFonts w:asciiTheme="majorHAnsi" w:hAnsiTheme="majorHAnsi" w:cs="Arial"/>
          <w:sz w:val="24"/>
          <w:szCs w:val="24"/>
        </w:rPr>
        <w:t>, în creștere faţă de luna iunie 2022 cu 731 lei (+21,0%).</w:t>
      </w:r>
    </w:p>
    <w:p w:rsidR="00F13AE6" w:rsidRPr="00793447" w:rsidRDefault="00F13AE6" w:rsidP="00F13AE6">
      <w:pPr>
        <w:spacing w:after="0" w:line="240" w:lineRule="auto"/>
        <w:ind w:firstLine="540"/>
        <w:jc w:val="both"/>
        <w:rPr>
          <w:rFonts w:asciiTheme="majorHAnsi" w:hAnsiTheme="majorHAnsi" w:cs="Arial"/>
          <w:sz w:val="24"/>
          <w:szCs w:val="24"/>
          <w:lang w:val="pt-BR"/>
        </w:rPr>
      </w:pPr>
      <w:r w:rsidRPr="00793447">
        <w:rPr>
          <w:rFonts w:asciiTheme="majorHAnsi" w:hAnsiTheme="majorHAnsi" w:cs="Arial"/>
          <w:sz w:val="24"/>
          <w:szCs w:val="24"/>
          <w:lang w:val="pt-BR"/>
        </w:rPr>
        <w:t xml:space="preserve">Câştiguri salariale medii peste media judeţului s-au înregistrat în industrie şi construcţii şi agricultură, silvicultură şi piscicultură (4329 lei). Câştiguri salariale medii nete sub media judeţului s-au înregistrat în servicii (4122 lei). </w:t>
      </w:r>
    </w:p>
    <w:p w:rsidR="00F13AE6" w:rsidRPr="00793447" w:rsidRDefault="00F13AE6" w:rsidP="00F13AE6">
      <w:pPr>
        <w:spacing w:after="0" w:line="240" w:lineRule="auto"/>
        <w:ind w:firstLine="540"/>
        <w:jc w:val="both"/>
        <w:rPr>
          <w:rFonts w:asciiTheme="majorHAnsi" w:hAnsiTheme="majorHAnsi" w:cs="Arial"/>
          <w:sz w:val="24"/>
          <w:szCs w:val="24"/>
          <w:lang w:val="pt-BR"/>
        </w:rPr>
      </w:pPr>
      <w:r w:rsidRPr="00793447">
        <w:rPr>
          <w:rFonts w:asciiTheme="majorHAnsi" w:hAnsiTheme="majorHAnsi" w:cs="Arial"/>
          <w:sz w:val="24"/>
          <w:szCs w:val="24"/>
          <w:lang w:val="pt-BR"/>
        </w:rPr>
        <w:t xml:space="preserve">Comparativ cu luna </w:t>
      </w:r>
      <w:r w:rsidRPr="00793447">
        <w:rPr>
          <w:rFonts w:asciiTheme="majorHAnsi" w:hAnsiTheme="majorHAnsi" w:cs="Arial"/>
          <w:sz w:val="24"/>
          <w:szCs w:val="24"/>
        </w:rPr>
        <w:t>precedentă</w:t>
      </w:r>
      <w:r w:rsidRPr="00793447">
        <w:rPr>
          <w:rFonts w:asciiTheme="majorHAnsi" w:hAnsiTheme="majorHAnsi" w:cs="Arial"/>
          <w:sz w:val="24"/>
          <w:szCs w:val="24"/>
          <w:lang w:val="pt-BR"/>
        </w:rPr>
        <w:t xml:space="preserve">, câştigul salarial mediu nominal net a crescut cu 1,1%. </w:t>
      </w:r>
    </w:p>
    <w:p w:rsidR="00F13AE6" w:rsidRPr="00793447" w:rsidRDefault="00F13AE6" w:rsidP="00F13AE6">
      <w:pPr>
        <w:spacing w:after="0" w:line="240" w:lineRule="auto"/>
        <w:ind w:firstLine="540"/>
        <w:jc w:val="both"/>
        <w:rPr>
          <w:rFonts w:asciiTheme="majorHAnsi" w:hAnsiTheme="majorHAnsi" w:cs="Arial"/>
          <w:sz w:val="24"/>
          <w:szCs w:val="24"/>
          <w:lang w:val="pt-BR"/>
        </w:rPr>
      </w:pPr>
      <w:r w:rsidRPr="00793447">
        <w:rPr>
          <w:rFonts w:asciiTheme="majorHAnsi" w:hAnsiTheme="majorHAnsi" w:cs="Arial"/>
          <w:sz w:val="24"/>
          <w:szCs w:val="24"/>
          <w:lang w:val="pt-BR"/>
        </w:rPr>
        <w:t>Indicele câştigului salarial real din luna iunie 2023 faţă de aceeaşi perioadă a anului precedent a fost de 109,7%.</w:t>
      </w:r>
    </w:p>
    <w:p w:rsidR="00F13AE6" w:rsidRPr="00793447" w:rsidRDefault="00F13AE6" w:rsidP="00F13AE6">
      <w:pPr>
        <w:spacing w:line="240" w:lineRule="auto"/>
        <w:ind w:firstLine="547"/>
        <w:jc w:val="both"/>
        <w:rPr>
          <w:rFonts w:asciiTheme="majorHAnsi" w:hAnsiTheme="majorHAnsi" w:cs="Arial"/>
          <w:sz w:val="24"/>
          <w:szCs w:val="24"/>
        </w:rPr>
      </w:pPr>
      <w:r w:rsidRPr="00793447">
        <w:rPr>
          <w:rFonts w:asciiTheme="majorHAnsi" w:hAnsiTheme="majorHAnsi" w:cs="Arial"/>
          <w:sz w:val="24"/>
          <w:szCs w:val="24"/>
        </w:rPr>
        <w:t>Pe grupe mari de activităţi, evoluţia câştigului salarial mediu nominal net în luna iunie 2023 comparativ cu luna mai 2023, respectiv luna iunie 2022, se prezintă după cum urmează:</w:t>
      </w:r>
    </w:p>
    <w:p w:rsidR="00871D27" w:rsidRPr="00793447" w:rsidRDefault="00871D27" w:rsidP="00871D27">
      <w:pPr>
        <w:spacing w:after="0" w:line="240" w:lineRule="auto"/>
        <w:jc w:val="both"/>
        <w:rPr>
          <w:rFonts w:asciiTheme="majorHAnsi" w:hAnsiTheme="majorHAnsi" w:cs="Arial"/>
          <w:sz w:val="24"/>
          <w:szCs w:val="24"/>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579"/>
        <w:gridCol w:w="2667"/>
        <w:gridCol w:w="2848"/>
      </w:tblGrid>
      <w:tr w:rsidR="00871D27" w:rsidRPr="00793447" w:rsidTr="00AA0357">
        <w:trPr>
          <w:cantSplit/>
          <w:trHeight w:hRule="exact" w:val="864"/>
          <w:jc w:val="center"/>
        </w:trPr>
        <w:tc>
          <w:tcPr>
            <w:tcW w:w="1911" w:type="pct"/>
            <w:vMerge w:val="restart"/>
            <w:tcBorders>
              <w:top w:val="single" w:sz="4" w:space="0" w:color="auto"/>
              <w:left w:val="single" w:sz="4" w:space="0" w:color="auto"/>
              <w:bottom w:val="single" w:sz="4" w:space="0" w:color="auto"/>
              <w:right w:val="single" w:sz="4" w:space="0" w:color="auto"/>
            </w:tcBorders>
          </w:tcPr>
          <w:p w:rsidR="00871D27" w:rsidRPr="00793447" w:rsidRDefault="00871D27" w:rsidP="00AA0357">
            <w:pPr>
              <w:rPr>
                <w:rFonts w:asciiTheme="majorHAnsi" w:hAnsiTheme="majorHAnsi" w:cs="Arial"/>
                <w:sz w:val="24"/>
                <w:szCs w:val="24"/>
              </w:rPr>
            </w:pPr>
          </w:p>
        </w:tc>
        <w:tc>
          <w:tcPr>
            <w:tcW w:w="3089" w:type="pct"/>
            <w:gridSpan w:val="2"/>
            <w:tcBorders>
              <w:top w:val="single" w:sz="4" w:space="0" w:color="auto"/>
              <w:left w:val="single" w:sz="4" w:space="0" w:color="auto"/>
              <w:bottom w:val="single" w:sz="4" w:space="0" w:color="auto"/>
              <w:right w:val="single" w:sz="4" w:space="0" w:color="auto"/>
            </w:tcBorders>
            <w:vAlign w:val="center"/>
          </w:tcPr>
          <w:p w:rsidR="00871D27" w:rsidRPr="00793447" w:rsidRDefault="00871D27" w:rsidP="00AA0357">
            <w:pPr>
              <w:spacing w:after="0" w:line="240" w:lineRule="auto"/>
              <w:ind w:hanging="5"/>
              <w:jc w:val="center"/>
              <w:rPr>
                <w:rFonts w:asciiTheme="majorHAnsi" w:hAnsiTheme="majorHAnsi" w:cs="Arial"/>
                <w:b/>
                <w:sz w:val="24"/>
                <w:szCs w:val="24"/>
                <w:lang w:val="pt-BR"/>
              </w:rPr>
            </w:pPr>
            <w:r w:rsidRPr="00793447">
              <w:rPr>
                <w:rFonts w:asciiTheme="majorHAnsi" w:hAnsiTheme="majorHAnsi" w:cs="Arial"/>
                <w:b/>
                <w:sz w:val="24"/>
                <w:szCs w:val="24"/>
                <w:lang w:val="pt-BR"/>
              </w:rPr>
              <w:t>%</w:t>
            </w:r>
          </w:p>
          <w:p w:rsidR="00871D27" w:rsidRPr="00793447" w:rsidRDefault="00871D27" w:rsidP="00AA0357">
            <w:pPr>
              <w:spacing w:after="0" w:line="240" w:lineRule="auto"/>
              <w:ind w:hanging="5"/>
              <w:jc w:val="center"/>
              <w:rPr>
                <w:rFonts w:asciiTheme="majorHAnsi" w:hAnsiTheme="majorHAnsi" w:cs="Arial"/>
                <w:b/>
                <w:sz w:val="24"/>
                <w:szCs w:val="24"/>
                <w:lang w:val="pt-BR"/>
              </w:rPr>
            </w:pPr>
            <w:r w:rsidRPr="00793447">
              <w:rPr>
                <w:rFonts w:asciiTheme="majorHAnsi" w:hAnsiTheme="majorHAnsi" w:cs="Arial"/>
                <w:b/>
                <w:sz w:val="24"/>
                <w:szCs w:val="24"/>
                <w:lang w:val="pt-BR"/>
              </w:rPr>
              <w:t>Câştigul salarial mediu net</w:t>
            </w:r>
          </w:p>
          <w:p w:rsidR="00871D27" w:rsidRPr="00793447" w:rsidRDefault="00871D27" w:rsidP="00AA0357">
            <w:pPr>
              <w:ind w:hanging="5"/>
              <w:jc w:val="center"/>
              <w:rPr>
                <w:rFonts w:asciiTheme="majorHAnsi" w:hAnsiTheme="majorHAnsi" w:cs="Arial"/>
                <w:b/>
                <w:sz w:val="24"/>
                <w:szCs w:val="24"/>
                <w:lang w:val="pt-BR"/>
              </w:rPr>
            </w:pPr>
            <w:r w:rsidRPr="00793447">
              <w:rPr>
                <w:rFonts w:asciiTheme="majorHAnsi" w:hAnsiTheme="majorHAnsi" w:cs="Arial"/>
                <w:b/>
                <w:sz w:val="24"/>
                <w:szCs w:val="24"/>
              </w:rPr>
              <w:t>luna iunie 2023</w:t>
            </w:r>
            <w:r w:rsidRPr="00793447">
              <w:rPr>
                <w:rFonts w:asciiTheme="majorHAnsi" w:hAnsiTheme="majorHAnsi" w:cs="Arial"/>
                <w:b/>
                <w:sz w:val="24"/>
                <w:szCs w:val="24"/>
                <w:lang w:val="pt-BR"/>
              </w:rPr>
              <w:t xml:space="preserve"> faţă de:</w:t>
            </w:r>
          </w:p>
        </w:tc>
      </w:tr>
      <w:tr w:rsidR="00871D27" w:rsidRPr="00793447" w:rsidTr="00AA0357">
        <w:trPr>
          <w:cantSplit/>
          <w:trHeight w:hRule="exact" w:val="379"/>
          <w:jc w:val="center"/>
        </w:trPr>
        <w:tc>
          <w:tcPr>
            <w:tcW w:w="1911" w:type="pct"/>
            <w:vMerge/>
            <w:tcBorders>
              <w:top w:val="single" w:sz="4" w:space="0" w:color="auto"/>
              <w:left w:val="single" w:sz="4" w:space="0" w:color="auto"/>
              <w:bottom w:val="single" w:sz="4" w:space="0" w:color="auto"/>
              <w:right w:val="single" w:sz="4" w:space="0" w:color="auto"/>
            </w:tcBorders>
            <w:vAlign w:val="center"/>
          </w:tcPr>
          <w:p w:rsidR="00871D27" w:rsidRPr="00793447" w:rsidRDefault="00871D27" w:rsidP="00AA0357">
            <w:pPr>
              <w:rPr>
                <w:rFonts w:asciiTheme="majorHAnsi" w:hAnsiTheme="majorHAnsi" w:cs="Arial"/>
                <w:sz w:val="24"/>
                <w:szCs w:val="24"/>
              </w:rPr>
            </w:pPr>
          </w:p>
        </w:tc>
        <w:tc>
          <w:tcPr>
            <w:tcW w:w="1495" w:type="pct"/>
            <w:tcBorders>
              <w:top w:val="single" w:sz="4" w:space="0" w:color="auto"/>
              <w:left w:val="single" w:sz="4" w:space="0" w:color="auto"/>
              <w:bottom w:val="single" w:sz="4" w:space="0" w:color="auto"/>
              <w:right w:val="single" w:sz="4" w:space="0" w:color="auto"/>
            </w:tcBorders>
            <w:vAlign w:val="center"/>
          </w:tcPr>
          <w:p w:rsidR="00871D27" w:rsidRPr="00793447" w:rsidRDefault="00871D27" w:rsidP="00AA0357">
            <w:pPr>
              <w:ind w:hanging="5"/>
              <w:jc w:val="center"/>
              <w:rPr>
                <w:rFonts w:asciiTheme="majorHAnsi" w:hAnsiTheme="majorHAnsi" w:cs="Arial"/>
                <w:b/>
                <w:sz w:val="24"/>
                <w:szCs w:val="24"/>
              </w:rPr>
            </w:pPr>
            <w:r w:rsidRPr="00793447">
              <w:rPr>
                <w:rFonts w:asciiTheme="majorHAnsi" w:hAnsiTheme="majorHAnsi" w:cs="Arial"/>
                <w:b/>
                <w:sz w:val="24"/>
                <w:szCs w:val="24"/>
              </w:rPr>
              <w:t>mai 2023</w:t>
            </w:r>
          </w:p>
        </w:tc>
        <w:tc>
          <w:tcPr>
            <w:tcW w:w="1594" w:type="pct"/>
            <w:tcBorders>
              <w:top w:val="single" w:sz="4" w:space="0" w:color="auto"/>
              <w:left w:val="single" w:sz="4" w:space="0" w:color="auto"/>
              <w:bottom w:val="single" w:sz="4" w:space="0" w:color="auto"/>
              <w:right w:val="single" w:sz="4" w:space="0" w:color="auto"/>
            </w:tcBorders>
            <w:vAlign w:val="center"/>
          </w:tcPr>
          <w:p w:rsidR="00871D27" w:rsidRPr="00793447" w:rsidRDefault="00871D27" w:rsidP="00AA0357">
            <w:pPr>
              <w:ind w:hanging="5"/>
              <w:jc w:val="center"/>
              <w:rPr>
                <w:rFonts w:asciiTheme="majorHAnsi" w:hAnsiTheme="majorHAnsi" w:cs="Arial"/>
                <w:b/>
                <w:sz w:val="24"/>
                <w:szCs w:val="24"/>
              </w:rPr>
            </w:pPr>
            <w:r w:rsidRPr="00793447">
              <w:rPr>
                <w:rFonts w:asciiTheme="majorHAnsi" w:hAnsiTheme="majorHAnsi" w:cs="Arial"/>
                <w:b/>
                <w:sz w:val="24"/>
                <w:szCs w:val="24"/>
              </w:rPr>
              <w:t>iunie 2022</w:t>
            </w:r>
          </w:p>
        </w:tc>
      </w:tr>
      <w:tr w:rsidR="00871D27" w:rsidRPr="00793447" w:rsidTr="00AA0357">
        <w:trPr>
          <w:cantSplit/>
          <w:trHeight w:hRule="exact" w:val="288"/>
          <w:jc w:val="center"/>
        </w:trPr>
        <w:tc>
          <w:tcPr>
            <w:tcW w:w="1911" w:type="pct"/>
            <w:tcBorders>
              <w:top w:val="single" w:sz="4" w:space="0" w:color="auto"/>
              <w:left w:val="single" w:sz="4" w:space="0" w:color="auto"/>
              <w:bottom w:val="single" w:sz="4" w:space="0" w:color="auto"/>
              <w:right w:val="single" w:sz="4" w:space="0" w:color="auto"/>
            </w:tcBorders>
          </w:tcPr>
          <w:p w:rsidR="00871D27" w:rsidRPr="00793447" w:rsidRDefault="00871D27" w:rsidP="00AA0357">
            <w:pPr>
              <w:rPr>
                <w:rFonts w:asciiTheme="majorHAnsi" w:hAnsiTheme="majorHAnsi" w:cs="Arial"/>
                <w:b/>
                <w:sz w:val="24"/>
                <w:szCs w:val="24"/>
              </w:rPr>
            </w:pPr>
            <w:r w:rsidRPr="00793447">
              <w:rPr>
                <w:rFonts w:asciiTheme="majorHAnsi" w:hAnsiTheme="majorHAnsi" w:cs="Arial"/>
                <w:b/>
                <w:sz w:val="24"/>
                <w:szCs w:val="24"/>
              </w:rPr>
              <w:t>Total</w:t>
            </w:r>
          </w:p>
        </w:tc>
        <w:tc>
          <w:tcPr>
            <w:tcW w:w="1495" w:type="pct"/>
            <w:tcBorders>
              <w:top w:val="single" w:sz="4" w:space="0" w:color="auto"/>
              <w:left w:val="single" w:sz="4" w:space="0" w:color="auto"/>
              <w:bottom w:val="single" w:sz="4" w:space="0" w:color="auto"/>
              <w:right w:val="single" w:sz="4" w:space="0" w:color="auto"/>
            </w:tcBorders>
            <w:shd w:val="clear" w:color="auto" w:fill="auto"/>
          </w:tcPr>
          <w:p w:rsidR="00871D27" w:rsidRPr="00793447" w:rsidRDefault="00871D27" w:rsidP="00AA0357">
            <w:pPr>
              <w:jc w:val="center"/>
              <w:rPr>
                <w:rFonts w:asciiTheme="majorHAnsi" w:hAnsiTheme="majorHAnsi" w:cs="Arial"/>
                <w:b/>
                <w:sz w:val="24"/>
                <w:szCs w:val="24"/>
              </w:rPr>
            </w:pPr>
            <w:r w:rsidRPr="00793447">
              <w:rPr>
                <w:rFonts w:asciiTheme="majorHAnsi" w:hAnsiTheme="majorHAnsi" w:cs="Arial"/>
                <w:b/>
                <w:sz w:val="24"/>
                <w:szCs w:val="24"/>
              </w:rPr>
              <w:t>1,1</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bottom"/>
          </w:tcPr>
          <w:p w:rsidR="00871D27" w:rsidRPr="00793447" w:rsidRDefault="00871D27" w:rsidP="00AA0357">
            <w:pPr>
              <w:jc w:val="center"/>
              <w:rPr>
                <w:rFonts w:asciiTheme="majorHAnsi" w:hAnsiTheme="majorHAnsi" w:cs="Arial"/>
                <w:b/>
                <w:sz w:val="24"/>
                <w:szCs w:val="24"/>
              </w:rPr>
            </w:pPr>
            <w:r w:rsidRPr="00793447">
              <w:rPr>
                <w:rFonts w:asciiTheme="majorHAnsi" w:hAnsiTheme="majorHAnsi" w:cs="Arial"/>
                <w:b/>
                <w:sz w:val="24"/>
                <w:szCs w:val="24"/>
              </w:rPr>
              <w:t>21,0</w:t>
            </w:r>
          </w:p>
        </w:tc>
      </w:tr>
      <w:tr w:rsidR="00871D27" w:rsidRPr="00793447" w:rsidTr="00AA0357">
        <w:trPr>
          <w:cantSplit/>
          <w:trHeight w:hRule="exact" w:val="288"/>
          <w:jc w:val="center"/>
        </w:trPr>
        <w:tc>
          <w:tcPr>
            <w:tcW w:w="1911" w:type="pct"/>
            <w:tcBorders>
              <w:top w:val="single" w:sz="4" w:space="0" w:color="auto"/>
              <w:left w:val="single" w:sz="4" w:space="0" w:color="auto"/>
              <w:bottom w:val="single" w:sz="4" w:space="0" w:color="auto"/>
              <w:right w:val="single" w:sz="4" w:space="0" w:color="auto"/>
            </w:tcBorders>
          </w:tcPr>
          <w:p w:rsidR="00871D27" w:rsidRPr="00793447" w:rsidRDefault="00871D27" w:rsidP="00AA0357">
            <w:pPr>
              <w:rPr>
                <w:rFonts w:asciiTheme="majorHAnsi" w:hAnsiTheme="majorHAnsi" w:cs="Arial"/>
                <w:sz w:val="24"/>
                <w:szCs w:val="24"/>
              </w:rPr>
            </w:pPr>
            <w:r w:rsidRPr="00793447">
              <w:rPr>
                <w:rFonts w:asciiTheme="majorHAnsi" w:hAnsiTheme="majorHAnsi" w:cs="Arial"/>
                <w:sz w:val="24"/>
                <w:szCs w:val="24"/>
              </w:rPr>
              <w:t>Agricultură+Silvicultură+Pescuit</w:t>
            </w:r>
          </w:p>
        </w:tc>
        <w:tc>
          <w:tcPr>
            <w:tcW w:w="1495" w:type="pct"/>
            <w:tcBorders>
              <w:top w:val="nil"/>
              <w:left w:val="single" w:sz="4" w:space="0" w:color="auto"/>
              <w:bottom w:val="single" w:sz="4" w:space="0" w:color="auto"/>
              <w:right w:val="single" w:sz="4" w:space="0" w:color="auto"/>
            </w:tcBorders>
            <w:shd w:val="clear" w:color="auto" w:fill="auto"/>
          </w:tcPr>
          <w:p w:rsidR="00871D27" w:rsidRPr="00793447" w:rsidRDefault="00871D27" w:rsidP="00AA0357">
            <w:pPr>
              <w:jc w:val="center"/>
              <w:rPr>
                <w:rFonts w:asciiTheme="majorHAnsi" w:hAnsiTheme="majorHAnsi" w:cs="Arial"/>
                <w:sz w:val="24"/>
                <w:szCs w:val="24"/>
              </w:rPr>
            </w:pPr>
            <w:r w:rsidRPr="00793447">
              <w:rPr>
                <w:rFonts w:asciiTheme="majorHAnsi" w:hAnsiTheme="majorHAnsi" w:cs="Arial"/>
                <w:sz w:val="24"/>
                <w:szCs w:val="24"/>
              </w:rPr>
              <w:t>4,7</w:t>
            </w:r>
          </w:p>
        </w:tc>
        <w:tc>
          <w:tcPr>
            <w:tcW w:w="1594" w:type="pct"/>
            <w:tcBorders>
              <w:top w:val="nil"/>
              <w:left w:val="single" w:sz="4" w:space="0" w:color="auto"/>
              <w:bottom w:val="single" w:sz="4" w:space="0" w:color="auto"/>
              <w:right w:val="single" w:sz="4" w:space="0" w:color="auto"/>
            </w:tcBorders>
            <w:shd w:val="clear" w:color="auto" w:fill="auto"/>
            <w:vAlign w:val="bottom"/>
          </w:tcPr>
          <w:p w:rsidR="00871D27" w:rsidRPr="00793447" w:rsidRDefault="00871D27" w:rsidP="00AA0357">
            <w:pPr>
              <w:jc w:val="center"/>
              <w:rPr>
                <w:rFonts w:asciiTheme="majorHAnsi" w:hAnsiTheme="majorHAnsi" w:cs="Arial"/>
                <w:sz w:val="24"/>
                <w:szCs w:val="24"/>
              </w:rPr>
            </w:pPr>
            <w:r w:rsidRPr="00793447">
              <w:rPr>
                <w:rFonts w:asciiTheme="majorHAnsi" w:hAnsiTheme="majorHAnsi" w:cs="Arial"/>
                <w:sz w:val="24"/>
                <w:szCs w:val="24"/>
              </w:rPr>
              <w:t>35,2</w:t>
            </w:r>
          </w:p>
        </w:tc>
      </w:tr>
      <w:tr w:rsidR="00871D27" w:rsidRPr="00793447" w:rsidTr="00AA0357">
        <w:trPr>
          <w:cantSplit/>
          <w:trHeight w:hRule="exact" w:val="288"/>
          <w:jc w:val="center"/>
        </w:trPr>
        <w:tc>
          <w:tcPr>
            <w:tcW w:w="1911" w:type="pct"/>
            <w:tcBorders>
              <w:top w:val="single" w:sz="4" w:space="0" w:color="auto"/>
              <w:left w:val="single" w:sz="4" w:space="0" w:color="auto"/>
              <w:bottom w:val="single" w:sz="4" w:space="0" w:color="auto"/>
              <w:right w:val="single" w:sz="4" w:space="0" w:color="auto"/>
            </w:tcBorders>
          </w:tcPr>
          <w:p w:rsidR="00871D27" w:rsidRPr="00793447" w:rsidRDefault="00871D27" w:rsidP="00AA0357">
            <w:pPr>
              <w:rPr>
                <w:rFonts w:asciiTheme="majorHAnsi" w:hAnsiTheme="majorHAnsi" w:cs="Arial"/>
                <w:sz w:val="24"/>
                <w:szCs w:val="24"/>
              </w:rPr>
            </w:pPr>
            <w:r w:rsidRPr="00793447">
              <w:rPr>
                <w:rFonts w:asciiTheme="majorHAnsi" w:hAnsiTheme="majorHAnsi" w:cs="Arial"/>
                <w:sz w:val="24"/>
                <w:szCs w:val="24"/>
              </w:rPr>
              <w:t>Industrie+Construcţii</w:t>
            </w:r>
          </w:p>
        </w:tc>
        <w:tc>
          <w:tcPr>
            <w:tcW w:w="1495" w:type="pct"/>
            <w:tcBorders>
              <w:top w:val="nil"/>
              <w:left w:val="single" w:sz="4" w:space="0" w:color="auto"/>
              <w:bottom w:val="single" w:sz="4" w:space="0" w:color="auto"/>
              <w:right w:val="single" w:sz="4" w:space="0" w:color="auto"/>
            </w:tcBorders>
            <w:shd w:val="clear" w:color="auto" w:fill="auto"/>
          </w:tcPr>
          <w:p w:rsidR="00871D27" w:rsidRPr="00793447" w:rsidRDefault="00871D27" w:rsidP="00AA0357">
            <w:pPr>
              <w:jc w:val="center"/>
              <w:rPr>
                <w:rFonts w:asciiTheme="majorHAnsi" w:hAnsiTheme="majorHAnsi" w:cs="Arial"/>
                <w:sz w:val="24"/>
                <w:szCs w:val="24"/>
              </w:rPr>
            </w:pPr>
            <w:r w:rsidRPr="00793447">
              <w:rPr>
                <w:rFonts w:asciiTheme="majorHAnsi" w:hAnsiTheme="majorHAnsi" w:cs="Arial"/>
                <w:sz w:val="24"/>
                <w:szCs w:val="24"/>
              </w:rPr>
              <w:t>2,7</w:t>
            </w:r>
          </w:p>
        </w:tc>
        <w:tc>
          <w:tcPr>
            <w:tcW w:w="1594" w:type="pct"/>
            <w:tcBorders>
              <w:top w:val="nil"/>
              <w:left w:val="single" w:sz="4" w:space="0" w:color="auto"/>
              <w:bottom w:val="single" w:sz="4" w:space="0" w:color="auto"/>
              <w:right w:val="single" w:sz="4" w:space="0" w:color="auto"/>
            </w:tcBorders>
            <w:shd w:val="clear" w:color="auto" w:fill="auto"/>
            <w:vAlign w:val="bottom"/>
          </w:tcPr>
          <w:p w:rsidR="00871D27" w:rsidRPr="00793447" w:rsidRDefault="00871D27" w:rsidP="00AA0357">
            <w:pPr>
              <w:jc w:val="center"/>
              <w:rPr>
                <w:rFonts w:asciiTheme="majorHAnsi" w:hAnsiTheme="majorHAnsi" w:cs="Arial"/>
                <w:sz w:val="24"/>
                <w:szCs w:val="24"/>
              </w:rPr>
            </w:pPr>
            <w:r w:rsidRPr="00793447">
              <w:rPr>
                <w:rFonts w:asciiTheme="majorHAnsi" w:hAnsiTheme="majorHAnsi" w:cs="Arial"/>
                <w:sz w:val="24"/>
                <w:szCs w:val="24"/>
              </w:rPr>
              <w:t>19,7</w:t>
            </w:r>
          </w:p>
        </w:tc>
      </w:tr>
      <w:tr w:rsidR="00871D27" w:rsidRPr="00793447" w:rsidTr="00AA0357">
        <w:trPr>
          <w:cantSplit/>
          <w:trHeight w:hRule="exact" w:val="288"/>
          <w:jc w:val="center"/>
        </w:trPr>
        <w:tc>
          <w:tcPr>
            <w:tcW w:w="1911" w:type="pct"/>
            <w:tcBorders>
              <w:top w:val="single" w:sz="4" w:space="0" w:color="auto"/>
              <w:left w:val="single" w:sz="4" w:space="0" w:color="auto"/>
              <w:bottom w:val="single" w:sz="4" w:space="0" w:color="auto"/>
              <w:right w:val="single" w:sz="4" w:space="0" w:color="auto"/>
            </w:tcBorders>
          </w:tcPr>
          <w:p w:rsidR="00871D27" w:rsidRPr="00793447" w:rsidRDefault="00871D27" w:rsidP="00AA0357">
            <w:pPr>
              <w:rPr>
                <w:rFonts w:asciiTheme="majorHAnsi" w:hAnsiTheme="majorHAnsi" w:cs="Arial"/>
                <w:sz w:val="24"/>
                <w:szCs w:val="24"/>
              </w:rPr>
            </w:pPr>
            <w:r w:rsidRPr="00793447">
              <w:rPr>
                <w:rFonts w:asciiTheme="majorHAnsi" w:hAnsiTheme="majorHAnsi" w:cs="Arial"/>
                <w:sz w:val="24"/>
                <w:szCs w:val="24"/>
              </w:rPr>
              <w:t>Servicii + comerţ</w:t>
            </w:r>
          </w:p>
        </w:tc>
        <w:tc>
          <w:tcPr>
            <w:tcW w:w="1495" w:type="pct"/>
            <w:tcBorders>
              <w:top w:val="nil"/>
              <w:left w:val="single" w:sz="4" w:space="0" w:color="auto"/>
              <w:bottom w:val="single" w:sz="4" w:space="0" w:color="auto"/>
              <w:right w:val="single" w:sz="4" w:space="0" w:color="auto"/>
            </w:tcBorders>
            <w:shd w:val="clear" w:color="auto" w:fill="auto"/>
          </w:tcPr>
          <w:p w:rsidR="00871D27" w:rsidRPr="00793447" w:rsidRDefault="00871D27" w:rsidP="00AA0357">
            <w:pPr>
              <w:jc w:val="center"/>
              <w:rPr>
                <w:rFonts w:asciiTheme="majorHAnsi" w:hAnsiTheme="majorHAnsi" w:cs="Arial"/>
                <w:sz w:val="24"/>
                <w:szCs w:val="24"/>
              </w:rPr>
            </w:pPr>
            <w:r w:rsidRPr="00793447">
              <w:rPr>
                <w:rFonts w:asciiTheme="majorHAnsi" w:hAnsiTheme="majorHAnsi" w:cs="Arial"/>
                <w:sz w:val="24"/>
                <w:szCs w:val="24"/>
              </w:rPr>
              <w:t>-0,3</w:t>
            </w:r>
          </w:p>
        </w:tc>
        <w:tc>
          <w:tcPr>
            <w:tcW w:w="1594" w:type="pct"/>
            <w:tcBorders>
              <w:top w:val="nil"/>
              <w:left w:val="single" w:sz="4" w:space="0" w:color="auto"/>
              <w:bottom w:val="single" w:sz="4" w:space="0" w:color="auto"/>
              <w:right w:val="single" w:sz="4" w:space="0" w:color="auto"/>
            </w:tcBorders>
            <w:shd w:val="clear" w:color="auto" w:fill="auto"/>
            <w:vAlign w:val="bottom"/>
          </w:tcPr>
          <w:p w:rsidR="00871D27" w:rsidRPr="00793447" w:rsidRDefault="00871D27" w:rsidP="00AA0357">
            <w:pPr>
              <w:jc w:val="center"/>
              <w:rPr>
                <w:rFonts w:asciiTheme="majorHAnsi" w:hAnsiTheme="majorHAnsi" w:cs="Arial"/>
                <w:sz w:val="24"/>
                <w:szCs w:val="24"/>
              </w:rPr>
            </w:pPr>
            <w:r w:rsidRPr="00793447">
              <w:rPr>
                <w:rFonts w:asciiTheme="majorHAnsi" w:hAnsiTheme="majorHAnsi" w:cs="Arial"/>
                <w:sz w:val="24"/>
                <w:szCs w:val="24"/>
              </w:rPr>
              <w:t>21,2</w:t>
            </w:r>
          </w:p>
        </w:tc>
      </w:tr>
    </w:tbl>
    <w:p w:rsidR="00871D27" w:rsidRPr="00793447" w:rsidRDefault="00871D27" w:rsidP="00871D27">
      <w:pPr>
        <w:spacing w:after="0" w:line="240" w:lineRule="auto"/>
        <w:jc w:val="both"/>
        <w:rPr>
          <w:rFonts w:asciiTheme="majorHAnsi" w:hAnsiTheme="majorHAnsi" w:cs="Arial"/>
          <w:sz w:val="24"/>
          <w:szCs w:val="24"/>
        </w:rPr>
      </w:pPr>
    </w:p>
    <w:p w:rsidR="00871D27" w:rsidRPr="00793447" w:rsidRDefault="00871D27" w:rsidP="00871D27">
      <w:pPr>
        <w:spacing w:after="0" w:line="240" w:lineRule="auto"/>
        <w:ind w:firstLine="720"/>
        <w:jc w:val="both"/>
        <w:rPr>
          <w:rFonts w:asciiTheme="majorHAnsi" w:hAnsiTheme="majorHAnsi" w:cs="Arial"/>
          <w:sz w:val="24"/>
          <w:szCs w:val="24"/>
        </w:rPr>
      </w:pPr>
      <w:r w:rsidRPr="00793447">
        <w:rPr>
          <w:rFonts w:asciiTheme="majorHAnsi" w:hAnsiTheme="majorHAnsi" w:cs="Arial"/>
          <w:b/>
          <w:sz w:val="24"/>
          <w:szCs w:val="24"/>
        </w:rPr>
        <w:t xml:space="preserve">Judeţul Prahova </w:t>
      </w:r>
      <w:r w:rsidRPr="00793447">
        <w:rPr>
          <w:rFonts w:asciiTheme="majorHAnsi" w:hAnsiTheme="majorHAnsi" w:cs="Arial"/>
          <w:sz w:val="24"/>
          <w:szCs w:val="24"/>
        </w:rPr>
        <w:t xml:space="preserve">ocupă locul 10 după câştigul salarial mediu net: Municipiul Bucureşti (5971 lei), Cluj (5614 lei), Timiş (5116 lei), Sibiu (4708 lei), Ilfov (4643 lei), Gorj (4519 lei), Iași (4498 lei), Brașov (4384 lei) și Mureș (4304 lei). </w:t>
      </w:r>
    </w:p>
    <w:p w:rsidR="00871D27" w:rsidRPr="00793447" w:rsidRDefault="00871D27" w:rsidP="00871D27">
      <w:pPr>
        <w:spacing w:after="0" w:line="240" w:lineRule="auto"/>
        <w:ind w:firstLine="720"/>
        <w:jc w:val="both"/>
        <w:rPr>
          <w:rFonts w:asciiTheme="majorHAnsi" w:hAnsiTheme="majorHAnsi" w:cs="Arial"/>
          <w:sz w:val="24"/>
          <w:szCs w:val="24"/>
        </w:rPr>
      </w:pPr>
    </w:p>
    <w:p w:rsidR="003E59B6" w:rsidRPr="00793447" w:rsidRDefault="003E59B6" w:rsidP="00871D27">
      <w:pPr>
        <w:spacing w:after="0" w:line="240" w:lineRule="auto"/>
        <w:ind w:firstLine="720"/>
        <w:jc w:val="both"/>
        <w:rPr>
          <w:rFonts w:asciiTheme="majorHAnsi" w:hAnsiTheme="majorHAnsi" w:cs="Arial"/>
          <w:sz w:val="24"/>
          <w:szCs w:val="24"/>
        </w:rPr>
      </w:pPr>
    </w:p>
    <w:p w:rsidR="003E59B6" w:rsidRPr="00793447" w:rsidRDefault="003E59B6" w:rsidP="00871D27">
      <w:pPr>
        <w:spacing w:after="0" w:line="240" w:lineRule="auto"/>
        <w:ind w:firstLine="720"/>
        <w:jc w:val="both"/>
        <w:rPr>
          <w:rFonts w:asciiTheme="majorHAnsi" w:hAnsiTheme="majorHAnsi" w:cs="Arial"/>
          <w:sz w:val="24"/>
          <w:szCs w:val="24"/>
        </w:rPr>
      </w:pPr>
      <w:r w:rsidRPr="00793447">
        <w:rPr>
          <w:rFonts w:asciiTheme="majorHAnsi" w:hAnsiTheme="majorHAnsi" w:cs="Arial"/>
          <w:noProof/>
          <w:sz w:val="24"/>
          <w:szCs w:val="24"/>
        </w:rPr>
        <w:drawing>
          <wp:inline distT="0" distB="0" distL="0" distR="0">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E59B6" w:rsidRPr="00793447" w:rsidRDefault="003E59B6" w:rsidP="00871D27">
      <w:pPr>
        <w:spacing w:after="0" w:line="240" w:lineRule="auto"/>
        <w:ind w:firstLine="720"/>
        <w:jc w:val="both"/>
        <w:rPr>
          <w:rFonts w:asciiTheme="majorHAnsi" w:hAnsiTheme="majorHAnsi" w:cs="Arial"/>
          <w:sz w:val="24"/>
          <w:szCs w:val="24"/>
        </w:rPr>
      </w:pPr>
    </w:p>
    <w:p w:rsidR="00804050" w:rsidRPr="00793447" w:rsidRDefault="00804050" w:rsidP="00871D27">
      <w:pPr>
        <w:spacing w:after="0" w:line="240" w:lineRule="auto"/>
        <w:ind w:firstLine="720"/>
        <w:jc w:val="both"/>
        <w:rPr>
          <w:rFonts w:asciiTheme="majorHAnsi" w:hAnsiTheme="majorHAnsi" w:cs="Arial"/>
          <w:sz w:val="24"/>
          <w:szCs w:val="24"/>
        </w:rPr>
      </w:pPr>
    </w:p>
    <w:p w:rsidR="00BA0FB0" w:rsidRPr="00793447" w:rsidRDefault="00BA0FB0" w:rsidP="00BA0FB0">
      <w:pPr>
        <w:pStyle w:val="BodyText"/>
        <w:tabs>
          <w:tab w:val="left" w:pos="10065"/>
        </w:tabs>
        <w:spacing w:after="0" w:line="240" w:lineRule="auto"/>
        <w:ind w:right="-124"/>
        <w:outlineLvl w:val="0"/>
        <w:rPr>
          <w:rFonts w:asciiTheme="majorHAnsi" w:hAnsiTheme="majorHAnsi" w:cs="Calibri"/>
          <w:b/>
          <w:color w:val="FF0000"/>
          <w:sz w:val="24"/>
          <w:szCs w:val="24"/>
          <w:lang w:val="ro-RO"/>
        </w:rPr>
      </w:pPr>
      <w:r w:rsidRPr="00793447">
        <w:rPr>
          <w:rFonts w:asciiTheme="majorHAnsi" w:hAnsiTheme="majorHAnsi" w:cs="Calibri"/>
          <w:b/>
          <w:sz w:val="24"/>
          <w:szCs w:val="24"/>
          <w:lang w:val="ro-RO"/>
        </w:rPr>
        <w:t xml:space="preserve">Numărul mediu de pensionari şi pensia </w:t>
      </w:r>
      <w:r w:rsidRPr="0087405B">
        <w:rPr>
          <w:rFonts w:asciiTheme="majorHAnsi" w:hAnsiTheme="majorHAnsi" w:cs="Calibri"/>
          <w:b/>
          <w:sz w:val="24"/>
          <w:szCs w:val="24"/>
          <w:lang w:val="ro-RO"/>
        </w:rPr>
        <w:t xml:space="preserve">medie lunară </w:t>
      </w:r>
      <w:r w:rsidR="0087405B" w:rsidRPr="0087405B">
        <w:rPr>
          <w:rFonts w:asciiTheme="majorHAnsi" w:hAnsiTheme="majorHAnsi" w:cs="Calibri"/>
          <w:b/>
          <w:sz w:val="24"/>
          <w:szCs w:val="24"/>
          <w:lang w:val="ro-RO"/>
        </w:rPr>
        <w:t>din trimestrul II</w:t>
      </w:r>
      <w:r w:rsidR="0087405B">
        <w:rPr>
          <w:rFonts w:asciiTheme="majorHAnsi" w:hAnsiTheme="majorHAnsi" w:cs="Calibri"/>
          <w:b/>
          <w:sz w:val="24"/>
          <w:szCs w:val="24"/>
          <w:lang w:val="ro-RO"/>
        </w:rPr>
        <w:t xml:space="preserve"> 2023</w:t>
      </w:r>
    </w:p>
    <w:p w:rsidR="00BA0FB0" w:rsidRPr="00793447" w:rsidRDefault="00BA0FB0" w:rsidP="00BA0FB0">
      <w:pPr>
        <w:tabs>
          <w:tab w:val="left" w:pos="10065"/>
        </w:tabs>
        <w:spacing w:after="0" w:line="240" w:lineRule="auto"/>
        <w:ind w:right="-124" w:firstLine="426"/>
        <w:rPr>
          <w:rFonts w:asciiTheme="majorHAnsi" w:hAnsiTheme="majorHAnsi" w:cs="Arial"/>
          <w:sz w:val="24"/>
          <w:szCs w:val="24"/>
          <w:lang w:val="ro-RO"/>
        </w:rPr>
      </w:pPr>
    </w:p>
    <w:p w:rsidR="00BA0FB0" w:rsidRPr="00793447" w:rsidRDefault="00BA0FB0" w:rsidP="00BA0FB0">
      <w:pPr>
        <w:spacing w:after="0" w:line="240" w:lineRule="auto"/>
        <w:ind w:firstLine="426"/>
        <w:jc w:val="both"/>
        <w:rPr>
          <w:rFonts w:asciiTheme="majorHAnsi" w:hAnsiTheme="majorHAnsi"/>
          <w:sz w:val="24"/>
          <w:szCs w:val="24"/>
        </w:rPr>
      </w:pPr>
      <w:r w:rsidRPr="00793447">
        <w:rPr>
          <w:rFonts w:asciiTheme="majorHAnsi" w:hAnsiTheme="majorHAnsi"/>
          <w:sz w:val="24"/>
          <w:szCs w:val="24"/>
          <w:lang w:val="ro-RO"/>
        </w:rPr>
        <w:t>Î</w:t>
      </w:r>
      <w:r w:rsidRPr="00793447">
        <w:rPr>
          <w:rFonts w:asciiTheme="majorHAnsi" w:hAnsiTheme="majorHAnsi"/>
          <w:sz w:val="24"/>
          <w:szCs w:val="24"/>
        </w:rPr>
        <w:t>n condițiile unei regresii evidente a sp</w:t>
      </w:r>
      <w:r w:rsidR="0087405B">
        <w:rPr>
          <w:rFonts w:asciiTheme="majorHAnsi" w:hAnsiTheme="majorHAnsi"/>
          <w:sz w:val="24"/>
          <w:szCs w:val="24"/>
        </w:rPr>
        <w:t>orului natural al populației și</w:t>
      </w:r>
      <w:r w:rsidRPr="00793447">
        <w:rPr>
          <w:rFonts w:asciiTheme="majorHAnsi" w:hAnsiTheme="majorHAnsi"/>
          <w:sz w:val="24"/>
          <w:szCs w:val="24"/>
        </w:rPr>
        <w:t xml:space="preserve"> pe fondul procesului de îmbătrânire demografică accentuat, persoanele încadrate în categoria pensionari dețin o pondere importantă în totalul populației.</w:t>
      </w:r>
    </w:p>
    <w:p w:rsidR="00BA0FB0" w:rsidRPr="00793447" w:rsidRDefault="00BA0FB0" w:rsidP="00BA0FB0">
      <w:pPr>
        <w:spacing w:after="0" w:line="240" w:lineRule="auto"/>
        <w:ind w:firstLine="426"/>
        <w:jc w:val="both"/>
        <w:rPr>
          <w:rFonts w:asciiTheme="majorHAnsi" w:hAnsiTheme="majorHAnsi"/>
          <w:color w:val="FF0000"/>
          <w:sz w:val="24"/>
          <w:szCs w:val="24"/>
        </w:rPr>
      </w:pPr>
    </w:p>
    <w:p w:rsidR="00BA0FB0" w:rsidRPr="00793447" w:rsidRDefault="00BA0FB0" w:rsidP="00BA0FB0">
      <w:pPr>
        <w:tabs>
          <w:tab w:val="left" w:pos="142"/>
        </w:tabs>
        <w:spacing w:after="0" w:line="240" w:lineRule="auto"/>
        <w:ind w:left="198" w:right="57"/>
        <w:jc w:val="center"/>
        <w:rPr>
          <w:rFonts w:asciiTheme="majorHAnsi" w:hAnsiTheme="majorHAnsi" w:cs="Arial"/>
          <w:b/>
          <w:sz w:val="24"/>
          <w:szCs w:val="24"/>
        </w:rPr>
      </w:pPr>
      <w:r w:rsidRPr="00793447">
        <w:rPr>
          <w:rFonts w:asciiTheme="majorHAnsi" w:hAnsiTheme="majorHAnsi" w:cs="Arial"/>
          <w:b/>
          <w:sz w:val="24"/>
          <w:szCs w:val="24"/>
        </w:rPr>
        <w:t>Numărul mediu trimestrial al pensionarilor pe tipuri de asigurări sociale</w:t>
      </w:r>
    </w:p>
    <w:p w:rsidR="00BA0FB0" w:rsidRPr="00793447" w:rsidRDefault="00BA0FB0" w:rsidP="00BA0FB0">
      <w:pPr>
        <w:tabs>
          <w:tab w:val="left" w:pos="142"/>
        </w:tabs>
        <w:ind w:left="198" w:right="57"/>
        <w:jc w:val="center"/>
        <w:rPr>
          <w:rFonts w:asciiTheme="majorHAnsi" w:hAnsiTheme="majorHAnsi" w:cstheme="min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3076"/>
        <w:gridCol w:w="1502"/>
        <w:gridCol w:w="1514"/>
        <w:gridCol w:w="1866"/>
      </w:tblGrid>
      <w:tr w:rsidR="00BA0FB0" w:rsidRPr="00793447" w:rsidTr="0087405B">
        <w:trPr>
          <w:trHeight w:val="1161"/>
        </w:trPr>
        <w:tc>
          <w:tcPr>
            <w:tcW w:w="2465" w:type="pct"/>
            <w:gridSpan w:val="2"/>
            <w:vAlign w:val="center"/>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Tipuri de asigurări sociale</w:t>
            </w:r>
          </w:p>
        </w:tc>
        <w:tc>
          <w:tcPr>
            <w:tcW w:w="780" w:type="pct"/>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 II 2022</w:t>
            </w:r>
          </w:p>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-persoane-</w:t>
            </w:r>
          </w:p>
        </w:tc>
        <w:tc>
          <w:tcPr>
            <w:tcW w:w="786" w:type="pct"/>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 II 2023</w:t>
            </w:r>
          </w:p>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-persoane-</w:t>
            </w:r>
          </w:p>
        </w:tc>
        <w:tc>
          <w:tcPr>
            <w:tcW w:w="969" w:type="pct"/>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 II 2023              faţă de</w:t>
            </w:r>
          </w:p>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Trim.II 2022</w:t>
            </w:r>
          </w:p>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w:t>
            </w:r>
          </w:p>
        </w:tc>
      </w:tr>
      <w:tr w:rsidR="00BA0FB0" w:rsidRPr="00793447" w:rsidTr="0087405B">
        <w:trPr>
          <w:trHeight w:val="389"/>
        </w:trPr>
        <w:tc>
          <w:tcPr>
            <w:tcW w:w="868" w:type="pct"/>
            <w:vMerge w:val="restart"/>
            <w:vAlign w:val="center"/>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De asigurări sociale de stat</w:t>
            </w:r>
          </w:p>
        </w:tc>
        <w:tc>
          <w:tcPr>
            <w:tcW w:w="1597" w:type="pct"/>
          </w:tcPr>
          <w:p w:rsidR="00BA0FB0" w:rsidRPr="00793447" w:rsidRDefault="00BA0FB0" w:rsidP="00BA0FB0">
            <w:pPr>
              <w:autoSpaceDE w:val="0"/>
              <w:autoSpaceDN w:val="0"/>
              <w:adjustRightInd w:val="0"/>
              <w:spacing w:after="0"/>
              <w:jc w:val="center"/>
              <w:rPr>
                <w:rFonts w:asciiTheme="majorHAnsi" w:hAnsiTheme="majorHAnsi" w:cstheme="minorHAnsi"/>
                <w:b/>
                <w:color w:val="000000"/>
                <w:sz w:val="24"/>
                <w:szCs w:val="24"/>
              </w:rPr>
            </w:pPr>
            <w:r w:rsidRPr="00793447">
              <w:rPr>
                <w:rFonts w:asciiTheme="majorHAnsi" w:hAnsiTheme="majorHAnsi" w:cstheme="minorHAnsi"/>
                <w:b/>
                <w:color w:val="000000"/>
                <w:sz w:val="24"/>
                <w:szCs w:val="24"/>
              </w:rPr>
              <w:t>TOTAL</w:t>
            </w:r>
          </w:p>
        </w:tc>
        <w:tc>
          <w:tcPr>
            <w:tcW w:w="780" w:type="pct"/>
            <w:shd w:val="solid" w:color="FFFFFF" w:fill="auto"/>
          </w:tcPr>
          <w:p w:rsidR="00BA0FB0" w:rsidRPr="00793447" w:rsidRDefault="00BA0FB0" w:rsidP="00BA0FB0">
            <w:pPr>
              <w:spacing w:after="0" w:line="240" w:lineRule="auto"/>
              <w:jc w:val="right"/>
              <w:rPr>
                <w:rFonts w:asciiTheme="majorHAnsi" w:hAnsiTheme="majorHAnsi" w:cs="Calibri"/>
                <w:b/>
                <w:color w:val="000000"/>
                <w:sz w:val="24"/>
                <w:szCs w:val="24"/>
              </w:rPr>
            </w:pPr>
            <w:r w:rsidRPr="00793447">
              <w:rPr>
                <w:rFonts w:asciiTheme="majorHAnsi" w:hAnsiTheme="majorHAnsi" w:cs="Calibri"/>
                <w:b/>
                <w:color w:val="000000"/>
                <w:sz w:val="24"/>
                <w:szCs w:val="24"/>
              </w:rPr>
              <w:t>4604313</w:t>
            </w:r>
          </w:p>
        </w:tc>
        <w:tc>
          <w:tcPr>
            <w:tcW w:w="786" w:type="pct"/>
            <w:shd w:val="solid" w:color="FFFFFF" w:fill="auto"/>
            <w:vAlign w:val="bottom"/>
          </w:tcPr>
          <w:p w:rsidR="00BA0FB0" w:rsidRPr="00793447" w:rsidRDefault="00BA0FB0" w:rsidP="00BA0FB0">
            <w:pPr>
              <w:spacing w:after="0"/>
              <w:jc w:val="right"/>
              <w:rPr>
                <w:rFonts w:asciiTheme="majorHAnsi" w:hAnsiTheme="majorHAnsi" w:cs="Calibri"/>
                <w:b/>
                <w:color w:val="000000"/>
                <w:sz w:val="24"/>
                <w:szCs w:val="24"/>
              </w:rPr>
            </w:pPr>
            <w:r w:rsidRPr="00793447">
              <w:rPr>
                <w:rFonts w:asciiTheme="majorHAnsi" w:hAnsiTheme="majorHAnsi" w:cs="Calibri"/>
                <w:b/>
                <w:color w:val="000000"/>
                <w:sz w:val="24"/>
                <w:szCs w:val="24"/>
              </w:rPr>
              <w:t>4597932</w:t>
            </w:r>
          </w:p>
        </w:tc>
        <w:tc>
          <w:tcPr>
            <w:tcW w:w="969" w:type="pct"/>
          </w:tcPr>
          <w:p w:rsidR="00BA0FB0" w:rsidRPr="00793447" w:rsidRDefault="00BA0FB0" w:rsidP="00BA0FB0">
            <w:pPr>
              <w:spacing w:after="0"/>
              <w:jc w:val="center"/>
              <w:rPr>
                <w:rFonts w:asciiTheme="majorHAnsi" w:hAnsiTheme="majorHAnsi"/>
                <w:b/>
                <w:sz w:val="24"/>
                <w:szCs w:val="24"/>
              </w:rPr>
            </w:pPr>
            <w:r w:rsidRPr="00793447">
              <w:rPr>
                <w:rFonts w:asciiTheme="majorHAnsi" w:hAnsiTheme="majorHAnsi"/>
                <w:b/>
                <w:sz w:val="24"/>
                <w:szCs w:val="24"/>
              </w:rPr>
              <w:t>99,9</w:t>
            </w:r>
          </w:p>
        </w:tc>
      </w:tr>
      <w:tr w:rsidR="00BA0FB0" w:rsidRPr="00793447" w:rsidTr="0087405B">
        <w:trPr>
          <w:trHeight w:val="389"/>
        </w:trPr>
        <w:tc>
          <w:tcPr>
            <w:tcW w:w="868" w:type="pct"/>
            <w:vMerge/>
            <w:vAlign w:val="center"/>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p>
        </w:tc>
        <w:tc>
          <w:tcPr>
            <w:tcW w:w="1597" w:type="pct"/>
          </w:tcPr>
          <w:p w:rsidR="00BA0FB0" w:rsidRPr="00793447" w:rsidRDefault="00BA0FB0" w:rsidP="00BA0FB0">
            <w:pPr>
              <w:autoSpaceDE w:val="0"/>
              <w:autoSpaceDN w:val="0"/>
              <w:adjustRightInd w:val="0"/>
              <w:spacing w:after="0"/>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rPr>
              <w:t>Regiunea SUD-MUNTENIA</w:t>
            </w:r>
          </w:p>
        </w:tc>
        <w:tc>
          <w:tcPr>
            <w:tcW w:w="780" w:type="pct"/>
            <w:shd w:val="solid" w:color="FFFFFF" w:fill="auto"/>
            <w:vAlign w:val="center"/>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692789</w:t>
            </w:r>
          </w:p>
        </w:tc>
        <w:tc>
          <w:tcPr>
            <w:tcW w:w="786" w:type="pct"/>
            <w:shd w:val="solid" w:color="FFFFFF" w:fill="auto"/>
            <w:vAlign w:val="bottom"/>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688493</w:t>
            </w:r>
          </w:p>
        </w:tc>
        <w:tc>
          <w:tcPr>
            <w:tcW w:w="969" w:type="pct"/>
          </w:tcPr>
          <w:p w:rsidR="00BA0FB0" w:rsidRPr="00793447" w:rsidRDefault="00BA0FB0" w:rsidP="00BA0FB0">
            <w:pPr>
              <w:spacing w:after="0"/>
              <w:jc w:val="center"/>
              <w:rPr>
                <w:rFonts w:asciiTheme="majorHAnsi" w:hAnsiTheme="majorHAnsi"/>
                <w:sz w:val="24"/>
                <w:szCs w:val="24"/>
              </w:rPr>
            </w:pPr>
            <w:r w:rsidRPr="00793447">
              <w:rPr>
                <w:rFonts w:asciiTheme="majorHAnsi" w:hAnsiTheme="majorHAnsi"/>
                <w:sz w:val="24"/>
                <w:szCs w:val="24"/>
              </w:rPr>
              <w:t>99,4</w:t>
            </w:r>
          </w:p>
        </w:tc>
      </w:tr>
      <w:tr w:rsidR="00BA0FB0" w:rsidRPr="00793447" w:rsidTr="0087405B">
        <w:trPr>
          <w:trHeight w:val="389"/>
        </w:trPr>
        <w:tc>
          <w:tcPr>
            <w:tcW w:w="868" w:type="pct"/>
            <w:vMerge/>
            <w:vAlign w:val="center"/>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p>
        </w:tc>
        <w:tc>
          <w:tcPr>
            <w:tcW w:w="1597" w:type="pct"/>
          </w:tcPr>
          <w:p w:rsidR="00BA0FB0" w:rsidRPr="00793447" w:rsidRDefault="00BA0FB0" w:rsidP="00BA0FB0">
            <w:pPr>
              <w:autoSpaceDE w:val="0"/>
              <w:autoSpaceDN w:val="0"/>
              <w:adjustRightInd w:val="0"/>
              <w:spacing w:after="0"/>
              <w:jc w:val="center"/>
              <w:rPr>
                <w:rFonts w:asciiTheme="majorHAnsi" w:hAnsiTheme="majorHAnsi" w:cstheme="minorHAnsi"/>
                <w:i/>
                <w:iCs/>
                <w:color w:val="000000"/>
                <w:sz w:val="24"/>
                <w:szCs w:val="24"/>
              </w:rPr>
            </w:pPr>
            <w:r w:rsidRPr="00793447">
              <w:rPr>
                <w:rFonts w:asciiTheme="majorHAnsi" w:hAnsiTheme="majorHAnsi" w:cstheme="minorHAnsi"/>
                <w:i/>
                <w:iCs/>
                <w:color w:val="000000"/>
                <w:sz w:val="24"/>
                <w:szCs w:val="24"/>
              </w:rPr>
              <w:t>Prahova</w:t>
            </w:r>
          </w:p>
        </w:tc>
        <w:tc>
          <w:tcPr>
            <w:tcW w:w="780" w:type="pct"/>
            <w:shd w:val="solid" w:color="FFFFFF" w:fill="auto"/>
            <w:vAlign w:val="center"/>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191184</w:t>
            </w:r>
          </w:p>
        </w:tc>
        <w:tc>
          <w:tcPr>
            <w:tcW w:w="786" w:type="pct"/>
            <w:shd w:val="solid" w:color="FFFFFF" w:fill="auto"/>
            <w:vAlign w:val="bottom"/>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190001</w:t>
            </w:r>
          </w:p>
        </w:tc>
        <w:tc>
          <w:tcPr>
            <w:tcW w:w="969" w:type="pct"/>
          </w:tcPr>
          <w:p w:rsidR="00BA0FB0" w:rsidRPr="00793447" w:rsidRDefault="00BA0FB0" w:rsidP="00BA0FB0">
            <w:pPr>
              <w:spacing w:after="0"/>
              <w:jc w:val="center"/>
              <w:rPr>
                <w:rFonts w:asciiTheme="majorHAnsi" w:hAnsiTheme="majorHAnsi"/>
                <w:i/>
                <w:sz w:val="24"/>
                <w:szCs w:val="24"/>
              </w:rPr>
            </w:pPr>
            <w:r w:rsidRPr="00793447">
              <w:rPr>
                <w:rFonts w:asciiTheme="majorHAnsi" w:hAnsiTheme="majorHAnsi"/>
                <w:i/>
                <w:sz w:val="24"/>
                <w:szCs w:val="24"/>
              </w:rPr>
              <w:t>99,4</w:t>
            </w:r>
          </w:p>
        </w:tc>
      </w:tr>
      <w:tr w:rsidR="00BA0FB0" w:rsidRPr="00793447" w:rsidTr="0087405B">
        <w:trPr>
          <w:trHeight w:val="389"/>
        </w:trPr>
        <w:tc>
          <w:tcPr>
            <w:tcW w:w="868" w:type="pct"/>
            <w:vMerge w:val="restart"/>
            <w:vAlign w:val="center"/>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Agricultori</w:t>
            </w:r>
          </w:p>
        </w:tc>
        <w:tc>
          <w:tcPr>
            <w:tcW w:w="1597" w:type="pct"/>
          </w:tcPr>
          <w:p w:rsidR="00BA0FB0" w:rsidRPr="00793447" w:rsidRDefault="00BA0FB0" w:rsidP="00BA0FB0">
            <w:pPr>
              <w:autoSpaceDE w:val="0"/>
              <w:autoSpaceDN w:val="0"/>
              <w:adjustRightInd w:val="0"/>
              <w:spacing w:after="0"/>
              <w:jc w:val="center"/>
              <w:rPr>
                <w:rFonts w:asciiTheme="majorHAnsi" w:hAnsiTheme="majorHAnsi" w:cstheme="minorHAnsi"/>
                <w:b/>
                <w:color w:val="000000"/>
                <w:sz w:val="24"/>
                <w:szCs w:val="24"/>
              </w:rPr>
            </w:pPr>
            <w:r w:rsidRPr="00793447">
              <w:rPr>
                <w:rFonts w:asciiTheme="majorHAnsi" w:hAnsiTheme="majorHAnsi" w:cstheme="minorHAnsi"/>
                <w:b/>
                <w:color w:val="000000"/>
                <w:sz w:val="24"/>
                <w:szCs w:val="24"/>
              </w:rPr>
              <w:t>TOTAL</w:t>
            </w:r>
          </w:p>
        </w:tc>
        <w:tc>
          <w:tcPr>
            <w:tcW w:w="780" w:type="pct"/>
            <w:shd w:val="solid" w:color="FFFFFF" w:fill="auto"/>
            <w:vAlign w:val="center"/>
          </w:tcPr>
          <w:p w:rsidR="00BA0FB0" w:rsidRPr="00793447" w:rsidRDefault="00BA0FB0" w:rsidP="00BA0FB0">
            <w:pPr>
              <w:spacing w:after="0"/>
              <w:jc w:val="right"/>
              <w:rPr>
                <w:rFonts w:asciiTheme="majorHAnsi" w:hAnsiTheme="majorHAnsi" w:cs="Calibri"/>
                <w:b/>
                <w:color w:val="000000"/>
                <w:sz w:val="24"/>
                <w:szCs w:val="24"/>
              </w:rPr>
            </w:pPr>
            <w:r w:rsidRPr="00793447">
              <w:rPr>
                <w:rFonts w:asciiTheme="majorHAnsi" w:hAnsiTheme="majorHAnsi" w:cs="Calibri"/>
                <w:b/>
                <w:color w:val="000000"/>
                <w:sz w:val="24"/>
                <w:szCs w:val="24"/>
              </w:rPr>
              <w:t>196475</w:t>
            </w:r>
          </w:p>
        </w:tc>
        <w:tc>
          <w:tcPr>
            <w:tcW w:w="786" w:type="pct"/>
            <w:shd w:val="solid" w:color="FFFFFF" w:fill="auto"/>
            <w:vAlign w:val="bottom"/>
          </w:tcPr>
          <w:p w:rsidR="00BA0FB0" w:rsidRPr="00793447" w:rsidRDefault="00BA0FB0" w:rsidP="00BA0FB0">
            <w:pPr>
              <w:spacing w:after="0"/>
              <w:jc w:val="right"/>
              <w:rPr>
                <w:rFonts w:asciiTheme="majorHAnsi" w:hAnsiTheme="majorHAnsi" w:cs="Calibri"/>
                <w:b/>
                <w:color w:val="000000"/>
                <w:sz w:val="24"/>
                <w:szCs w:val="24"/>
              </w:rPr>
            </w:pPr>
            <w:r w:rsidRPr="00793447">
              <w:rPr>
                <w:rFonts w:asciiTheme="majorHAnsi" w:hAnsiTheme="majorHAnsi" w:cs="Calibri"/>
                <w:b/>
                <w:color w:val="000000"/>
                <w:sz w:val="24"/>
                <w:szCs w:val="24"/>
              </w:rPr>
              <w:t>170265</w:t>
            </w:r>
          </w:p>
        </w:tc>
        <w:tc>
          <w:tcPr>
            <w:tcW w:w="969" w:type="pct"/>
          </w:tcPr>
          <w:p w:rsidR="00BA0FB0" w:rsidRPr="00793447" w:rsidRDefault="00BA0FB0" w:rsidP="00BA0FB0">
            <w:pPr>
              <w:spacing w:after="0"/>
              <w:jc w:val="center"/>
              <w:rPr>
                <w:rFonts w:asciiTheme="majorHAnsi" w:hAnsiTheme="majorHAnsi"/>
                <w:b/>
                <w:sz w:val="24"/>
                <w:szCs w:val="24"/>
              </w:rPr>
            </w:pPr>
            <w:r w:rsidRPr="00793447">
              <w:rPr>
                <w:rFonts w:asciiTheme="majorHAnsi" w:hAnsiTheme="majorHAnsi"/>
                <w:b/>
                <w:sz w:val="24"/>
                <w:szCs w:val="24"/>
              </w:rPr>
              <w:t>86,7</w:t>
            </w:r>
          </w:p>
        </w:tc>
      </w:tr>
      <w:tr w:rsidR="00BA0FB0" w:rsidRPr="00793447" w:rsidTr="0087405B">
        <w:trPr>
          <w:trHeight w:val="389"/>
        </w:trPr>
        <w:tc>
          <w:tcPr>
            <w:tcW w:w="868" w:type="pct"/>
            <w:vMerge/>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p>
        </w:tc>
        <w:tc>
          <w:tcPr>
            <w:tcW w:w="1597" w:type="pct"/>
          </w:tcPr>
          <w:p w:rsidR="00BA0FB0" w:rsidRPr="00793447" w:rsidRDefault="00BA0FB0" w:rsidP="00BA0FB0">
            <w:pPr>
              <w:autoSpaceDE w:val="0"/>
              <w:autoSpaceDN w:val="0"/>
              <w:adjustRightInd w:val="0"/>
              <w:spacing w:after="0"/>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rPr>
              <w:t>Regiunea SUD-MUNTENIA</w:t>
            </w:r>
          </w:p>
        </w:tc>
        <w:tc>
          <w:tcPr>
            <w:tcW w:w="780" w:type="pct"/>
            <w:shd w:val="solid" w:color="FFFFFF" w:fill="auto"/>
            <w:vAlign w:val="center"/>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36704</w:t>
            </w:r>
          </w:p>
        </w:tc>
        <w:tc>
          <w:tcPr>
            <w:tcW w:w="786" w:type="pct"/>
            <w:shd w:val="solid" w:color="FFFFFF" w:fill="auto"/>
            <w:vAlign w:val="bottom"/>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31628</w:t>
            </w:r>
          </w:p>
        </w:tc>
        <w:tc>
          <w:tcPr>
            <w:tcW w:w="969" w:type="pct"/>
          </w:tcPr>
          <w:p w:rsidR="00BA0FB0" w:rsidRPr="00793447" w:rsidRDefault="00BA0FB0" w:rsidP="00BA0FB0">
            <w:pPr>
              <w:spacing w:after="0"/>
              <w:jc w:val="center"/>
              <w:rPr>
                <w:rFonts w:asciiTheme="majorHAnsi" w:hAnsiTheme="majorHAnsi"/>
                <w:sz w:val="24"/>
                <w:szCs w:val="24"/>
              </w:rPr>
            </w:pPr>
            <w:r w:rsidRPr="00793447">
              <w:rPr>
                <w:rFonts w:asciiTheme="majorHAnsi" w:hAnsiTheme="majorHAnsi"/>
                <w:sz w:val="24"/>
                <w:szCs w:val="24"/>
              </w:rPr>
              <w:t>86,2</w:t>
            </w:r>
          </w:p>
        </w:tc>
      </w:tr>
      <w:tr w:rsidR="00BA0FB0" w:rsidRPr="00793447" w:rsidTr="0087405B">
        <w:trPr>
          <w:trHeight w:val="389"/>
        </w:trPr>
        <w:tc>
          <w:tcPr>
            <w:tcW w:w="868" w:type="pct"/>
            <w:vMerge/>
          </w:tcPr>
          <w:p w:rsidR="00BA0FB0" w:rsidRPr="00793447" w:rsidRDefault="00BA0FB0" w:rsidP="00BA0FB0">
            <w:pPr>
              <w:autoSpaceDE w:val="0"/>
              <w:autoSpaceDN w:val="0"/>
              <w:adjustRightInd w:val="0"/>
              <w:spacing w:after="0"/>
              <w:jc w:val="center"/>
              <w:rPr>
                <w:rFonts w:asciiTheme="majorHAnsi" w:hAnsiTheme="majorHAnsi" w:cstheme="minorHAnsi"/>
                <w:b/>
                <w:bCs/>
                <w:color w:val="000000"/>
                <w:sz w:val="24"/>
                <w:szCs w:val="24"/>
              </w:rPr>
            </w:pPr>
          </w:p>
        </w:tc>
        <w:tc>
          <w:tcPr>
            <w:tcW w:w="1597" w:type="pct"/>
          </w:tcPr>
          <w:p w:rsidR="00BA0FB0" w:rsidRPr="00793447" w:rsidRDefault="00BA0FB0" w:rsidP="00BA0FB0">
            <w:pPr>
              <w:autoSpaceDE w:val="0"/>
              <w:autoSpaceDN w:val="0"/>
              <w:adjustRightInd w:val="0"/>
              <w:spacing w:after="0"/>
              <w:jc w:val="center"/>
              <w:rPr>
                <w:rFonts w:asciiTheme="majorHAnsi" w:hAnsiTheme="majorHAnsi" w:cstheme="minorHAnsi"/>
                <w:i/>
                <w:iCs/>
                <w:color w:val="000000"/>
                <w:sz w:val="24"/>
                <w:szCs w:val="24"/>
              </w:rPr>
            </w:pPr>
            <w:r w:rsidRPr="00793447">
              <w:rPr>
                <w:rFonts w:asciiTheme="majorHAnsi" w:hAnsiTheme="majorHAnsi" w:cstheme="minorHAnsi"/>
                <w:i/>
                <w:iCs/>
                <w:color w:val="000000"/>
                <w:sz w:val="24"/>
                <w:szCs w:val="24"/>
              </w:rPr>
              <w:t>Prahova</w:t>
            </w:r>
          </w:p>
        </w:tc>
        <w:tc>
          <w:tcPr>
            <w:tcW w:w="780" w:type="pct"/>
            <w:shd w:val="solid" w:color="FFFFFF" w:fill="auto"/>
            <w:vAlign w:val="center"/>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3780</w:t>
            </w:r>
          </w:p>
        </w:tc>
        <w:tc>
          <w:tcPr>
            <w:tcW w:w="786" w:type="pct"/>
            <w:shd w:val="solid" w:color="FFFFFF" w:fill="auto"/>
            <w:vAlign w:val="bottom"/>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3286</w:t>
            </w:r>
          </w:p>
        </w:tc>
        <w:tc>
          <w:tcPr>
            <w:tcW w:w="969" w:type="pct"/>
          </w:tcPr>
          <w:p w:rsidR="00BA0FB0" w:rsidRPr="00793447" w:rsidRDefault="00BA0FB0" w:rsidP="00BA0FB0">
            <w:pPr>
              <w:spacing w:after="0"/>
              <w:jc w:val="center"/>
              <w:rPr>
                <w:rFonts w:asciiTheme="majorHAnsi" w:hAnsiTheme="majorHAnsi"/>
                <w:i/>
                <w:sz w:val="24"/>
                <w:szCs w:val="24"/>
              </w:rPr>
            </w:pPr>
            <w:r w:rsidRPr="00793447">
              <w:rPr>
                <w:rFonts w:asciiTheme="majorHAnsi" w:hAnsiTheme="majorHAnsi"/>
                <w:i/>
                <w:sz w:val="24"/>
                <w:szCs w:val="24"/>
              </w:rPr>
              <w:t>86,9</w:t>
            </w:r>
          </w:p>
        </w:tc>
      </w:tr>
    </w:tbl>
    <w:p w:rsidR="00BA0FB0" w:rsidRPr="00793447" w:rsidRDefault="00BA0FB0" w:rsidP="00BA0FB0">
      <w:pPr>
        <w:tabs>
          <w:tab w:val="left" w:pos="0"/>
        </w:tabs>
        <w:spacing w:after="0" w:line="240" w:lineRule="auto"/>
        <w:ind w:right="57"/>
        <w:jc w:val="both"/>
        <w:rPr>
          <w:rFonts w:asciiTheme="majorHAnsi" w:hAnsiTheme="majorHAnsi" w:cs="Arial"/>
          <w:color w:val="FF0000"/>
          <w:sz w:val="24"/>
          <w:szCs w:val="24"/>
        </w:rPr>
      </w:pPr>
      <w:r w:rsidRPr="00793447">
        <w:rPr>
          <w:rFonts w:asciiTheme="majorHAnsi" w:hAnsiTheme="majorHAnsi" w:cs="Arial"/>
          <w:color w:val="FF0000"/>
          <w:sz w:val="24"/>
          <w:szCs w:val="24"/>
        </w:rPr>
        <w:tab/>
      </w:r>
    </w:p>
    <w:p w:rsidR="00BA0FB0" w:rsidRPr="00793447" w:rsidRDefault="00BA0FB0" w:rsidP="00BA0FB0">
      <w:pPr>
        <w:tabs>
          <w:tab w:val="left" w:pos="0"/>
        </w:tabs>
        <w:spacing w:after="0" w:line="240" w:lineRule="auto"/>
        <w:ind w:right="57"/>
        <w:jc w:val="both"/>
        <w:rPr>
          <w:rFonts w:asciiTheme="majorHAnsi" w:hAnsiTheme="majorHAnsi" w:cs="Arial"/>
          <w:sz w:val="24"/>
          <w:szCs w:val="24"/>
        </w:rPr>
      </w:pPr>
      <w:r w:rsidRPr="00793447">
        <w:rPr>
          <w:rFonts w:asciiTheme="majorHAnsi" w:hAnsiTheme="majorHAnsi" w:cs="Arial"/>
          <w:sz w:val="24"/>
          <w:szCs w:val="24"/>
        </w:rPr>
        <w:tab/>
        <w:t>Comparativ cu trimestrul II 2022 , numărul mediu al pensionarilor de asigurări sociale de stat a scăzut cu 1183 persoane, iar cel al pensionarilor proveniţi din fostul sistem pentru agricultori a scăzut cu 494  persoane.</w:t>
      </w:r>
    </w:p>
    <w:p w:rsidR="00BA0FB0" w:rsidRPr="00793447" w:rsidRDefault="00BA0FB0" w:rsidP="00BA0FB0">
      <w:pPr>
        <w:tabs>
          <w:tab w:val="left" w:pos="0"/>
        </w:tabs>
        <w:spacing w:after="0" w:line="240" w:lineRule="auto"/>
        <w:ind w:right="57"/>
        <w:jc w:val="both"/>
        <w:rPr>
          <w:rFonts w:asciiTheme="majorHAnsi" w:hAnsiTheme="majorHAnsi" w:cs="Arial"/>
          <w:sz w:val="24"/>
          <w:szCs w:val="24"/>
        </w:rPr>
      </w:pPr>
      <w:r w:rsidRPr="00793447">
        <w:rPr>
          <w:rFonts w:asciiTheme="majorHAnsi" w:hAnsiTheme="majorHAnsi" w:cs="Arial"/>
          <w:sz w:val="24"/>
          <w:szCs w:val="24"/>
        </w:rPr>
        <w:tab/>
        <w:t>În ierarhia judeţelor, în funcţie de numărul mediu al pensionarilor de asigurări sociale de stat, judeţul Prahova se situează pe locul 2.</w:t>
      </w:r>
    </w:p>
    <w:p w:rsidR="00BA0FB0" w:rsidRPr="00793447" w:rsidRDefault="00BA0FB0" w:rsidP="00CD28E7">
      <w:pPr>
        <w:tabs>
          <w:tab w:val="left" w:pos="0"/>
        </w:tabs>
        <w:spacing w:after="0" w:line="240" w:lineRule="auto"/>
        <w:ind w:right="57"/>
        <w:jc w:val="both"/>
        <w:rPr>
          <w:rFonts w:asciiTheme="majorHAnsi" w:hAnsiTheme="majorHAnsi"/>
          <w:sz w:val="24"/>
          <w:szCs w:val="24"/>
        </w:rPr>
      </w:pPr>
      <w:r w:rsidRPr="00793447">
        <w:rPr>
          <w:rFonts w:asciiTheme="majorHAnsi" w:hAnsiTheme="majorHAnsi" w:cs="Arial"/>
          <w:color w:val="FF0000"/>
          <w:sz w:val="24"/>
          <w:szCs w:val="24"/>
        </w:rPr>
        <w:tab/>
      </w:r>
      <w:r w:rsidRPr="00793447">
        <w:rPr>
          <w:rFonts w:asciiTheme="majorHAnsi" w:hAnsiTheme="majorHAnsi"/>
          <w:sz w:val="24"/>
          <w:szCs w:val="24"/>
        </w:rPr>
        <w:t>Pensia medie lunară de asigur</w:t>
      </w:r>
      <w:r w:rsidR="0087405B">
        <w:rPr>
          <w:rFonts w:asciiTheme="majorHAnsi" w:hAnsiTheme="majorHAnsi"/>
          <w:sz w:val="24"/>
          <w:szCs w:val="24"/>
        </w:rPr>
        <w:t>ă</w:t>
      </w:r>
      <w:r w:rsidRPr="00793447">
        <w:rPr>
          <w:rFonts w:asciiTheme="majorHAnsi" w:hAnsiTheme="majorHAnsi"/>
          <w:sz w:val="24"/>
          <w:szCs w:val="24"/>
        </w:rPr>
        <w:t xml:space="preserve">ri sociale de stat din judeţul Prahova a fost în trimestrul II 2023 de 2118 lei, în creştere cu 12,8% faţă de cea înregistrată în trimestrul II 2022. </w:t>
      </w:r>
    </w:p>
    <w:p w:rsidR="00BA0FB0" w:rsidRPr="00793447" w:rsidRDefault="00BA0FB0" w:rsidP="00BA0FB0">
      <w:pPr>
        <w:spacing w:after="0" w:line="240" w:lineRule="auto"/>
        <w:ind w:firstLine="426"/>
        <w:jc w:val="both"/>
        <w:rPr>
          <w:rFonts w:asciiTheme="majorHAnsi" w:hAnsiTheme="majorHAnsi"/>
          <w:sz w:val="24"/>
          <w:szCs w:val="24"/>
        </w:rPr>
      </w:pPr>
      <w:r w:rsidRPr="00793447">
        <w:rPr>
          <w:rFonts w:asciiTheme="majorHAnsi" w:hAnsiTheme="majorHAnsi"/>
          <w:sz w:val="24"/>
          <w:szCs w:val="24"/>
        </w:rPr>
        <w:t>Pensia medie de asigurări sociale a pensionarilor proveniţi din fostul sistem pentru agricultori, în trimestrul II 2023, a fost de 2,7 ori mai mică comparativ cu pensia medie de asigurări sociale de stat.</w:t>
      </w:r>
    </w:p>
    <w:p w:rsidR="00BA0FB0" w:rsidRPr="00793447" w:rsidRDefault="00BA0FB0" w:rsidP="00BA0FB0">
      <w:pPr>
        <w:spacing w:after="0" w:line="240" w:lineRule="auto"/>
        <w:ind w:firstLine="198"/>
        <w:rPr>
          <w:rFonts w:asciiTheme="majorHAnsi" w:hAnsiTheme="majorHAnsi"/>
          <w:color w:val="FF0000"/>
          <w:sz w:val="24"/>
          <w:szCs w:val="24"/>
        </w:rPr>
      </w:pPr>
    </w:p>
    <w:p w:rsidR="00BA0FB0" w:rsidRPr="00793447" w:rsidRDefault="00BA0FB0" w:rsidP="00BA0FB0">
      <w:pPr>
        <w:spacing w:after="0" w:line="240" w:lineRule="auto"/>
        <w:ind w:firstLine="198"/>
        <w:rPr>
          <w:rFonts w:asciiTheme="majorHAnsi" w:hAnsiTheme="majorHAnsi"/>
          <w:color w:val="FF0000"/>
          <w:sz w:val="24"/>
          <w:szCs w:val="24"/>
        </w:rPr>
      </w:pPr>
    </w:p>
    <w:p w:rsidR="00BA0FB0" w:rsidRPr="00793447" w:rsidRDefault="00BA0FB0" w:rsidP="00BA0FB0">
      <w:pPr>
        <w:tabs>
          <w:tab w:val="left" w:pos="142"/>
        </w:tabs>
        <w:spacing w:after="0" w:line="240" w:lineRule="auto"/>
        <w:ind w:left="198" w:right="57"/>
        <w:jc w:val="center"/>
        <w:rPr>
          <w:rFonts w:asciiTheme="majorHAnsi" w:hAnsiTheme="majorHAnsi" w:cs="Arial"/>
          <w:b/>
          <w:sz w:val="24"/>
          <w:szCs w:val="24"/>
          <w:lang w:val="it-IT"/>
        </w:rPr>
      </w:pPr>
      <w:r w:rsidRPr="00793447">
        <w:rPr>
          <w:rFonts w:asciiTheme="majorHAnsi" w:hAnsiTheme="majorHAnsi" w:cs="Arial"/>
          <w:b/>
          <w:sz w:val="24"/>
          <w:szCs w:val="24"/>
          <w:lang w:val="it-IT"/>
        </w:rPr>
        <w:t>Pensia medie lunară de asigurări sociale de stat şi agricultori</w:t>
      </w:r>
    </w:p>
    <w:p w:rsidR="00BA0FB0" w:rsidRPr="00793447" w:rsidRDefault="00BA0FB0" w:rsidP="00BA0FB0">
      <w:pPr>
        <w:tabs>
          <w:tab w:val="left" w:pos="142"/>
        </w:tabs>
        <w:spacing w:after="0" w:line="240" w:lineRule="auto"/>
        <w:ind w:left="198" w:right="57" w:firstLine="8682"/>
        <w:jc w:val="both"/>
        <w:rPr>
          <w:rFonts w:asciiTheme="majorHAnsi" w:hAnsiTheme="majorHAnsi" w:cs="Arial"/>
          <w:b/>
          <w:sz w:val="24"/>
          <w:szCs w:val="24"/>
          <w:lang w:val="it-IT"/>
        </w:rPr>
      </w:pPr>
      <w:r w:rsidRPr="00793447">
        <w:rPr>
          <w:rFonts w:asciiTheme="majorHAnsi" w:hAnsiTheme="majorHAnsi" w:cs="Arial"/>
          <w:b/>
          <w:sz w:val="24"/>
          <w:szCs w:val="24"/>
          <w:lang w:val="it-IT"/>
        </w:rPr>
        <w:t>lei</w:t>
      </w:r>
    </w:p>
    <w:tbl>
      <w:tblPr>
        <w:tblW w:w="9771" w:type="dxa"/>
        <w:tblInd w:w="118" w:type="dxa"/>
        <w:tblLook w:val="04A0" w:firstRow="1" w:lastRow="0" w:firstColumn="1" w:lastColumn="0" w:noHBand="0" w:noVBand="1"/>
      </w:tblPr>
      <w:tblGrid>
        <w:gridCol w:w="1690"/>
        <w:gridCol w:w="2978"/>
        <w:gridCol w:w="1559"/>
        <w:gridCol w:w="1701"/>
        <w:gridCol w:w="1843"/>
      </w:tblGrid>
      <w:tr w:rsidR="00BA0FB0" w:rsidRPr="00793447" w:rsidTr="00CA45CF">
        <w:trPr>
          <w:trHeight w:val="170"/>
        </w:trPr>
        <w:tc>
          <w:tcPr>
            <w:tcW w:w="4668"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Tipuri de asigurari sociale</w:t>
            </w:r>
          </w:p>
        </w:tc>
        <w:tc>
          <w:tcPr>
            <w:tcW w:w="1559" w:type="dxa"/>
            <w:vMerge w:val="restart"/>
            <w:tcBorders>
              <w:top w:val="single" w:sz="8" w:space="0" w:color="auto"/>
              <w:left w:val="single" w:sz="8" w:space="0" w:color="000000"/>
              <w:bottom w:val="nil"/>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 II 2022</w:t>
            </w:r>
          </w:p>
        </w:tc>
        <w:tc>
          <w:tcPr>
            <w:tcW w:w="1701" w:type="dxa"/>
            <w:vMerge w:val="restart"/>
            <w:tcBorders>
              <w:top w:val="single" w:sz="8" w:space="0" w:color="auto"/>
              <w:left w:val="single" w:sz="8" w:space="0" w:color="auto"/>
              <w:bottom w:val="nil"/>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 II 2023</w:t>
            </w:r>
          </w:p>
        </w:tc>
        <w:tc>
          <w:tcPr>
            <w:tcW w:w="1843" w:type="dxa"/>
            <w:tcBorders>
              <w:top w:val="single" w:sz="8" w:space="0" w:color="auto"/>
              <w:left w:val="nil"/>
              <w:bottom w:val="nil"/>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Trim.II 2023</w:t>
            </w:r>
          </w:p>
        </w:tc>
      </w:tr>
      <w:tr w:rsidR="00BA0FB0" w:rsidRPr="00793447" w:rsidTr="00CA45CF">
        <w:trPr>
          <w:trHeight w:val="170"/>
        </w:trPr>
        <w:tc>
          <w:tcPr>
            <w:tcW w:w="4668" w:type="dxa"/>
            <w:gridSpan w:val="2"/>
            <w:vMerge/>
            <w:tcBorders>
              <w:top w:val="single" w:sz="8" w:space="0" w:color="auto"/>
              <w:left w:val="single" w:sz="8" w:space="0" w:color="auto"/>
              <w:bottom w:val="nil"/>
              <w:right w:val="single" w:sz="8" w:space="0" w:color="000000"/>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559" w:type="dxa"/>
            <w:vMerge/>
            <w:tcBorders>
              <w:top w:val="single" w:sz="8" w:space="0" w:color="auto"/>
              <w:left w:val="single" w:sz="8" w:space="0" w:color="000000"/>
              <w:bottom w:val="nil"/>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701" w:type="dxa"/>
            <w:vMerge/>
            <w:tcBorders>
              <w:top w:val="single" w:sz="8" w:space="0" w:color="auto"/>
              <w:left w:val="single" w:sz="8" w:space="0" w:color="auto"/>
              <w:bottom w:val="nil"/>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843" w:type="dxa"/>
            <w:tcBorders>
              <w:top w:val="nil"/>
              <w:left w:val="nil"/>
              <w:bottom w:val="nil"/>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faţă de</w:t>
            </w:r>
          </w:p>
        </w:tc>
      </w:tr>
      <w:tr w:rsidR="00BA0FB0" w:rsidRPr="00793447" w:rsidTr="00CA45CF">
        <w:trPr>
          <w:trHeight w:val="170"/>
        </w:trPr>
        <w:tc>
          <w:tcPr>
            <w:tcW w:w="4668" w:type="dxa"/>
            <w:gridSpan w:val="2"/>
            <w:vMerge/>
            <w:tcBorders>
              <w:top w:val="single" w:sz="8" w:space="0" w:color="auto"/>
              <w:left w:val="single" w:sz="8" w:space="0" w:color="auto"/>
              <w:bottom w:val="nil"/>
              <w:right w:val="single" w:sz="8" w:space="0" w:color="000000"/>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559" w:type="dxa"/>
            <w:vMerge/>
            <w:tcBorders>
              <w:top w:val="single" w:sz="8" w:space="0" w:color="auto"/>
              <w:left w:val="single" w:sz="8" w:space="0" w:color="000000"/>
              <w:bottom w:val="nil"/>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701" w:type="dxa"/>
            <w:vMerge/>
            <w:tcBorders>
              <w:top w:val="single" w:sz="8" w:space="0" w:color="auto"/>
              <w:left w:val="single" w:sz="8" w:space="0" w:color="auto"/>
              <w:bottom w:val="nil"/>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843" w:type="dxa"/>
            <w:tcBorders>
              <w:top w:val="nil"/>
              <w:left w:val="nil"/>
              <w:bottom w:val="nil"/>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Trim.II 2022</w:t>
            </w:r>
          </w:p>
        </w:tc>
      </w:tr>
      <w:tr w:rsidR="00BA0FB0" w:rsidRPr="00793447" w:rsidTr="00CA45CF">
        <w:trPr>
          <w:trHeight w:val="170"/>
        </w:trPr>
        <w:tc>
          <w:tcPr>
            <w:tcW w:w="4668" w:type="dxa"/>
            <w:gridSpan w:val="2"/>
            <w:vMerge/>
            <w:tcBorders>
              <w:top w:val="single" w:sz="8" w:space="0" w:color="auto"/>
              <w:left w:val="single" w:sz="8" w:space="0" w:color="auto"/>
              <w:bottom w:val="nil"/>
              <w:right w:val="single" w:sz="8" w:space="0" w:color="000000"/>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559" w:type="dxa"/>
            <w:vMerge/>
            <w:tcBorders>
              <w:top w:val="single" w:sz="8" w:space="0" w:color="auto"/>
              <w:left w:val="single" w:sz="8" w:space="0" w:color="000000"/>
              <w:bottom w:val="nil"/>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701" w:type="dxa"/>
            <w:vMerge/>
            <w:tcBorders>
              <w:top w:val="single" w:sz="8" w:space="0" w:color="auto"/>
              <w:left w:val="single" w:sz="8" w:space="0" w:color="auto"/>
              <w:bottom w:val="nil"/>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1843" w:type="dxa"/>
            <w:tcBorders>
              <w:top w:val="nil"/>
              <w:left w:val="nil"/>
              <w:bottom w:val="nil"/>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Diferenţe +/-</w:t>
            </w:r>
          </w:p>
        </w:tc>
      </w:tr>
      <w:tr w:rsidR="00BA0FB0" w:rsidRPr="00793447" w:rsidTr="00CA45CF">
        <w:trPr>
          <w:trHeight w:val="170"/>
        </w:trPr>
        <w:tc>
          <w:tcPr>
            <w:tcW w:w="169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De asigurari sociale de stat</w:t>
            </w:r>
          </w:p>
        </w:tc>
        <w:tc>
          <w:tcPr>
            <w:tcW w:w="2978" w:type="dxa"/>
            <w:tcBorders>
              <w:top w:val="single" w:sz="8" w:space="0" w:color="auto"/>
              <w:left w:val="nil"/>
              <w:bottom w:val="single" w:sz="8" w:space="0" w:color="auto"/>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TOTAL</w:t>
            </w:r>
          </w:p>
        </w:tc>
        <w:tc>
          <w:tcPr>
            <w:tcW w:w="1559" w:type="dxa"/>
            <w:tcBorders>
              <w:top w:val="single" w:sz="8" w:space="0" w:color="auto"/>
              <w:left w:val="nil"/>
              <w:bottom w:val="single" w:sz="8" w:space="0" w:color="auto"/>
              <w:right w:val="single" w:sz="8" w:space="0" w:color="auto"/>
            </w:tcBorders>
            <w:shd w:val="clear" w:color="000000" w:fill="FFFFFF"/>
            <w:hideMark/>
          </w:tcPr>
          <w:p w:rsidR="00BA0FB0" w:rsidRPr="00793447" w:rsidRDefault="00BA0FB0" w:rsidP="00BA0FB0">
            <w:pPr>
              <w:spacing w:after="0" w:line="240" w:lineRule="auto"/>
              <w:jc w:val="right"/>
              <w:rPr>
                <w:rFonts w:asciiTheme="majorHAnsi" w:hAnsiTheme="majorHAnsi" w:cs="Calibri"/>
                <w:b/>
                <w:color w:val="000000"/>
                <w:sz w:val="24"/>
                <w:szCs w:val="24"/>
              </w:rPr>
            </w:pPr>
            <w:r w:rsidRPr="00793447">
              <w:rPr>
                <w:rFonts w:asciiTheme="majorHAnsi" w:hAnsiTheme="majorHAnsi" w:cs="Calibri"/>
                <w:b/>
                <w:color w:val="000000"/>
                <w:sz w:val="24"/>
                <w:szCs w:val="24"/>
              </w:rPr>
              <w:t>1774</w:t>
            </w:r>
          </w:p>
        </w:tc>
        <w:tc>
          <w:tcPr>
            <w:tcW w:w="1701" w:type="dxa"/>
            <w:tcBorders>
              <w:top w:val="single" w:sz="8" w:space="0" w:color="auto"/>
              <w:left w:val="nil"/>
              <w:bottom w:val="single" w:sz="8" w:space="0" w:color="auto"/>
              <w:right w:val="single" w:sz="8" w:space="0" w:color="auto"/>
            </w:tcBorders>
            <w:shd w:val="clear" w:color="000000" w:fill="FFFFFF"/>
            <w:hideMark/>
          </w:tcPr>
          <w:p w:rsidR="00BA0FB0" w:rsidRPr="00793447" w:rsidRDefault="00BA0FB0" w:rsidP="00BA0FB0">
            <w:pPr>
              <w:spacing w:after="0"/>
              <w:jc w:val="right"/>
              <w:rPr>
                <w:rFonts w:asciiTheme="majorHAnsi" w:hAnsiTheme="majorHAnsi" w:cs="Calibri"/>
                <w:b/>
                <w:color w:val="000000"/>
                <w:sz w:val="24"/>
                <w:szCs w:val="24"/>
              </w:rPr>
            </w:pPr>
            <w:r w:rsidRPr="00793447">
              <w:rPr>
                <w:rFonts w:asciiTheme="majorHAnsi" w:hAnsiTheme="majorHAnsi" w:cs="Calibri"/>
                <w:b/>
                <w:color w:val="000000"/>
                <w:sz w:val="24"/>
                <w:szCs w:val="24"/>
              </w:rPr>
              <w:t>2005</w:t>
            </w:r>
          </w:p>
        </w:tc>
        <w:tc>
          <w:tcPr>
            <w:tcW w:w="1843" w:type="dxa"/>
            <w:tcBorders>
              <w:top w:val="single" w:sz="8" w:space="0" w:color="auto"/>
              <w:left w:val="nil"/>
              <w:bottom w:val="single" w:sz="8" w:space="0" w:color="auto"/>
              <w:right w:val="single" w:sz="8" w:space="0" w:color="auto"/>
            </w:tcBorders>
            <w:shd w:val="clear" w:color="auto" w:fill="auto"/>
            <w:noWrap/>
            <w:hideMark/>
          </w:tcPr>
          <w:p w:rsidR="00BA0FB0" w:rsidRPr="00793447" w:rsidRDefault="00BA0FB0" w:rsidP="00BA0FB0">
            <w:pPr>
              <w:spacing w:after="0" w:line="240" w:lineRule="auto"/>
              <w:jc w:val="center"/>
              <w:rPr>
                <w:rFonts w:asciiTheme="majorHAnsi" w:hAnsiTheme="majorHAnsi" w:cs="Calibri"/>
                <w:b/>
                <w:color w:val="000000"/>
                <w:sz w:val="24"/>
                <w:szCs w:val="24"/>
              </w:rPr>
            </w:pPr>
            <w:r w:rsidRPr="00793447">
              <w:rPr>
                <w:rFonts w:asciiTheme="majorHAnsi" w:hAnsiTheme="majorHAnsi" w:cs="Calibri"/>
                <w:b/>
                <w:color w:val="000000"/>
                <w:sz w:val="24"/>
                <w:szCs w:val="24"/>
              </w:rPr>
              <w:t>231</w:t>
            </w:r>
          </w:p>
        </w:tc>
      </w:tr>
      <w:tr w:rsidR="00BA0FB0" w:rsidRPr="00793447" w:rsidTr="00CA45CF">
        <w:trPr>
          <w:trHeight w:val="170"/>
        </w:trPr>
        <w:tc>
          <w:tcPr>
            <w:tcW w:w="1690" w:type="dxa"/>
            <w:vMerge/>
            <w:tcBorders>
              <w:top w:val="single" w:sz="8" w:space="0" w:color="000000"/>
              <w:left w:val="single" w:sz="8" w:space="0" w:color="auto"/>
              <w:bottom w:val="single" w:sz="8" w:space="0" w:color="000000"/>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2978" w:type="dxa"/>
            <w:tcBorders>
              <w:top w:val="nil"/>
              <w:left w:val="nil"/>
              <w:bottom w:val="single" w:sz="8" w:space="0" w:color="auto"/>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rPr>
              <w:t>Regiunea SUD-MUNTENIA</w:t>
            </w:r>
          </w:p>
        </w:tc>
        <w:tc>
          <w:tcPr>
            <w:tcW w:w="1559"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1712</w:t>
            </w:r>
          </w:p>
        </w:tc>
        <w:tc>
          <w:tcPr>
            <w:tcW w:w="1701"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1937</w:t>
            </w:r>
          </w:p>
        </w:tc>
        <w:tc>
          <w:tcPr>
            <w:tcW w:w="1843" w:type="dxa"/>
            <w:tcBorders>
              <w:top w:val="nil"/>
              <w:left w:val="nil"/>
              <w:bottom w:val="single" w:sz="8" w:space="0" w:color="auto"/>
              <w:right w:val="single" w:sz="8" w:space="0" w:color="auto"/>
            </w:tcBorders>
            <w:shd w:val="clear" w:color="auto" w:fill="auto"/>
            <w:noWrap/>
            <w:vAlign w:val="bottom"/>
            <w:hideMark/>
          </w:tcPr>
          <w:p w:rsidR="00BA0FB0" w:rsidRPr="00793447" w:rsidRDefault="00BA0FB0" w:rsidP="00BA0FB0">
            <w:pPr>
              <w:spacing w:after="0"/>
              <w:jc w:val="center"/>
              <w:rPr>
                <w:rFonts w:asciiTheme="majorHAnsi" w:hAnsiTheme="majorHAnsi" w:cs="Calibri"/>
                <w:color w:val="000000"/>
                <w:sz w:val="24"/>
                <w:szCs w:val="24"/>
              </w:rPr>
            </w:pPr>
            <w:r w:rsidRPr="00793447">
              <w:rPr>
                <w:rFonts w:asciiTheme="majorHAnsi" w:hAnsiTheme="majorHAnsi" w:cs="Calibri"/>
                <w:color w:val="000000"/>
                <w:sz w:val="24"/>
                <w:szCs w:val="24"/>
              </w:rPr>
              <w:t>225</w:t>
            </w:r>
          </w:p>
        </w:tc>
      </w:tr>
      <w:tr w:rsidR="00BA0FB0" w:rsidRPr="00793447" w:rsidTr="00CA45CF">
        <w:trPr>
          <w:trHeight w:val="170"/>
        </w:trPr>
        <w:tc>
          <w:tcPr>
            <w:tcW w:w="1690" w:type="dxa"/>
            <w:vMerge/>
            <w:tcBorders>
              <w:top w:val="single" w:sz="8" w:space="0" w:color="000000"/>
              <w:left w:val="single" w:sz="8" w:space="0" w:color="auto"/>
              <w:bottom w:val="single" w:sz="8" w:space="0" w:color="000000"/>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2978" w:type="dxa"/>
            <w:tcBorders>
              <w:top w:val="nil"/>
              <w:left w:val="nil"/>
              <w:bottom w:val="single" w:sz="8" w:space="0" w:color="auto"/>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i/>
                <w:iCs/>
                <w:color w:val="000000"/>
                <w:sz w:val="24"/>
                <w:szCs w:val="24"/>
              </w:rPr>
            </w:pPr>
            <w:r w:rsidRPr="00793447">
              <w:rPr>
                <w:rFonts w:asciiTheme="majorHAnsi" w:hAnsiTheme="majorHAnsi" w:cstheme="minorHAnsi"/>
                <w:i/>
                <w:iCs/>
                <w:color w:val="000000"/>
                <w:sz w:val="24"/>
                <w:szCs w:val="24"/>
              </w:rPr>
              <w:t>Prahova</w:t>
            </w:r>
          </w:p>
        </w:tc>
        <w:tc>
          <w:tcPr>
            <w:tcW w:w="1559"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1877</w:t>
            </w:r>
          </w:p>
        </w:tc>
        <w:tc>
          <w:tcPr>
            <w:tcW w:w="1701"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2118</w:t>
            </w:r>
          </w:p>
        </w:tc>
        <w:tc>
          <w:tcPr>
            <w:tcW w:w="1843" w:type="dxa"/>
            <w:tcBorders>
              <w:top w:val="nil"/>
              <w:left w:val="nil"/>
              <w:bottom w:val="single" w:sz="8" w:space="0" w:color="auto"/>
              <w:right w:val="single" w:sz="8" w:space="0" w:color="auto"/>
            </w:tcBorders>
            <w:shd w:val="clear" w:color="auto" w:fill="auto"/>
            <w:noWrap/>
            <w:vAlign w:val="bottom"/>
            <w:hideMark/>
          </w:tcPr>
          <w:p w:rsidR="00BA0FB0" w:rsidRPr="00793447" w:rsidRDefault="00BA0FB0" w:rsidP="00BA0FB0">
            <w:pPr>
              <w:spacing w:after="0"/>
              <w:jc w:val="center"/>
              <w:rPr>
                <w:rFonts w:asciiTheme="majorHAnsi" w:hAnsiTheme="majorHAnsi" w:cs="Calibri"/>
                <w:i/>
                <w:color w:val="000000"/>
                <w:sz w:val="24"/>
                <w:szCs w:val="24"/>
              </w:rPr>
            </w:pPr>
            <w:r w:rsidRPr="00793447">
              <w:rPr>
                <w:rFonts w:asciiTheme="majorHAnsi" w:hAnsiTheme="majorHAnsi" w:cs="Calibri"/>
                <w:i/>
                <w:color w:val="000000"/>
                <w:sz w:val="24"/>
                <w:szCs w:val="24"/>
              </w:rPr>
              <w:t>241</w:t>
            </w:r>
          </w:p>
        </w:tc>
      </w:tr>
      <w:tr w:rsidR="00BA0FB0" w:rsidRPr="00793447" w:rsidTr="00CA45CF">
        <w:trPr>
          <w:trHeight w:val="170"/>
        </w:trPr>
        <w:tc>
          <w:tcPr>
            <w:tcW w:w="1690" w:type="dxa"/>
            <w:vMerge w:val="restart"/>
            <w:tcBorders>
              <w:top w:val="nil"/>
              <w:left w:val="single" w:sz="8" w:space="0" w:color="auto"/>
              <w:bottom w:val="single" w:sz="8" w:space="0" w:color="000000"/>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Agricultori</w:t>
            </w:r>
          </w:p>
        </w:tc>
        <w:tc>
          <w:tcPr>
            <w:tcW w:w="2978" w:type="dxa"/>
            <w:tcBorders>
              <w:top w:val="nil"/>
              <w:left w:val="nil"/>
              <w:bottom w:val="single" w:sz="8" w:space="0" w:color="auto"/>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rPr>
              <w:t>TOTAL</w:t>
            </w:r>
          </w:p>
        </w:tc>
        <w:tc>
          <w:tcPr>
            <w:tcW w:w="1559"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b/>
                <w:color w:val="000000"/>
                <w:sz w:val="24"/>
                <w:szCs w:val="24"/>
              </w:rPr>
            </w:pPr>
            <w:r w:rsidRPr="00793447">
              <w:rPr>
                <w:rFonts w:asciiTheme="majorHAnsi" w:hAnsiTheme="majorHAnsi" w:cs="Calibri"/>
                <w:b/>
                <w:color w:val="000000"/>
                <w:sz w:val="24"/>
                <w:szCs w:val="24"/>
              </w:rPr>
              <w:t>712</w:t>
            </w:r>
          </w:p>
        </w:tc>
        <w:tc>
          <w:tcPr>
            <w:tcW w:w="1701"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b/>
                <w:color w:val="000000"/>
                <w:sz w:val="24"/>
                <w:szCs w:val="24"/>
              </w:rPr>
            </w:pPr>
            <w:r w:rsidRPr="00793447">
              <w:rPr>
                <w:rFonts w:asciiTheme="majorHAnsi" w:hAnsiTheme="majorHAnsi" w:cs="Calibri"/>
                <w:b/>
                <w:color w:val="000000"/>
                <w:sz w:val="24"/>
                <w:szCs w:val="24"/>
              </w:rPr>
              <w:t>804</w:t>
            </w:r>
          </w:p>
        </w:tc>
        <w:tc>
          <w:tcPr>
            <w:tcW w:w="1843" w:type="dxa"/>
            <w:tcBorders>
              <w:top w:val="nil"/>
              <w:left w:val="nil"/>
              <w:bottom w:val="single" w:sz="8" w:space="0" w:color="auto"/>
              <w:right w:val="single" w:sz="8" w:space="0" w:color="auto"/>
            </w:tcBorders>
            <w:shd w:val="clear" w:color="auto" w:fill="auto"/>
            <w:noWrap/>
            <w:vAlign w:val="bottom"/>
            <w:hideMark/>
          </w:tcPr>
          <w:p w:rsidR="00BA0FB0" w:rsidRPr="00793447" w:rsidRDefault="00BA0FB0" w:rsidP="00BA0FB0">
            <w:pPr>
              <w:spacing w:after="0"/>
              <w:jc w:val="center"/>
              <w:rPr>
                <w:rFonts w:asciiTheme="majorHAnsi" w:hAnsiTheme="majorHAnsi" w:cs="Calibri"/>
                <w:b/>
                <w:color w:val="000000"/>
                <w:sz w:val="24"/>
                <w:szCs w:val="24"/>
              </w:rPr>
            </w:pPr>
            <w:r w:rsidRPr="00793447">
              <w:rPr>
                <w:rFonts w:asciiTheme="majorHAnsi" w:hAnsiTheme="majorHAnsi" w:cs="Calibri"/>
                <w:b/>
                <w:color w:val="000000"/>
                <w:sz w:val="24"/>
                <w:szCs w:val="24"/>
              </w:rPr>
              <w:t>92</w:t>
            </w:r>
          </w:p>
        </w:tc>
      </w:tr>
      <w:tr w:rsidR="00BA0FB0" w:rsidRPr="00793447" w:rsidTr="00CA45CF">
        <w:trPr>
          <w:trHeight w:val="170"/>
        </w:trPr>
        <w:tc>
          <w:tcPr>
            <w:tcW w:w="1690" w:type="dxa"/>
            <w:vMerge/>
            <w:tcBorders>
              <w:top w:val="nil"/>
              <w:left w:val="single" w:sz="8" w:space="0" w:color="auto"/>
              <w:bottom w:val="single" w:sz="8" w:space="0" w:color="000000"/>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2978" w:type="dxa"/>
            <w:tcBorders>
              <w:top w:val="nil"/>
              <w:left w:val="nil"/>
              <w:bottom w:val="single" w:sz="8" w:space="0" w:color="auto"/>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rPr>
              <w:t>Regiunea SUD-MUNTENIA</w:t>
            </w:r>
          </w:p>
        </w:tc>
        <w:tc>
          <w:tcPr>
            <w:tcW w:w="1559"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724</w:t>
            </w:r>
          </w:p>
        </w:tc>
        <w:tc>
          <w:tcPr>
            <w:tcW w:w="1701"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color w:val="000000"/>
                <w:sz w:val="24"/>
                <w:szCs w:val="24"/>
              </w:rPr>
            </w:pPr>
            <w:r w:rsidRPr="00793447">
              <w:rPr>
                <w:rFonts w:asciiTheme="majorHAnsi" w:hAnsiTheme="majorHAnsi" w:cs="Calibri"/>
                <w:color w:val="000000"/>
                <w:sz w:val="24"/>
                <w:szCs w:val="24"/>
              </w:rPr>
              <w:t>819</w:t>
            </w:r>
          </w:p>
        </w:tc>
        <w:tc>
          <w:tcPr>
            <w:tcW w:w="1843" w:type="dxa"/>
            <w:tcBorders>
              <w:top w:val="nil"/>
              <w:left w:val="nil"/>
              <w:bottom w:val="single" w:sz="8" w:space="0" w:color="auto"/>
              <w:right w:val="single" w:sz="8" w:space="0" w:color="auto"/>
            </w:tcBorders>
            <w:shd w:val="clear" w:color="auto" w:fill="auto"/>
            <w:noWrap/>
            <w:vAlign w:val="bottom"/>
            <w:hideMark/>
          </w:tcPr>
          <w:p w:rsidR="00BA0FB0" w:rsidRPr="00793447" w:rsidRDefault="00BA0FB0" w:rsidP="00BA0FB0">
            <w:pPr>
              <w:spacing w:after="0"/>
              <w:jc w:val="center"/>
              <w:rPr>
                <w:rFonts w:asciiTheme="majorHAnsi" w:hAnsiTheme="majorHAnsi" w:cs="Calibri"/>
                <w:color w:val="000000"/>
                <w:sz w:val="24"/>
                <w:szCs w:val="24"/>
              </w:rPr>
            </w:pPr>
            <w:r w:rsidRPr="00793447">
              <w:rPr>
                <w:rFonts w:asciiTheme="majorHAnsi" w:hAnsiTheme="majorHAnsi" w:cs="Calibri"/>
                <w:color w:val="000000"/>
                <w:sz w:val="24"/>
                <w:szCs w:val="24"/>
              </w:rPr>
              <w:t>95</w:t>
            </w:r>
          </w:p>
        </w:tc>
      </w:tr>
      <w:tr w:rsidR="00BA0FB0" w:rsidRPr="00793447" w:rsidTr="00CA45CF">
        <w:trPr>
          <w:trHeight w:val="170"/>
        </w:trPr>
        <w:tc>
          <w:tcPr>
            <w:tcW w:w="1690" w:type="dxa"/>
            <w:vMerge/>
            <w:tcBorders>
              <w:top w:val="nil"/>
              <w:left w:val="single" w:sz="8" w:space="0" w:color="auto"/>
              <w:bottom w:val="single" w:sz="8" w:space="0" w:color="000000"/>
              <w:right w:val="single" w:sz="8" w:space="0" w:color="auto"/>
            </w:tcBorders>
            <w:vAlign w:val="center"/>
            <w:hideMark/>
          </w:tcPr>
          <w:p w:rsidR="00BA0FB0" w:rsidRPr="00793447" w:rsidRDefault="00BA0FB0" w:rsidP="00BA0FB0">
            <w:pPr>
              <w:spacing w:after="0"/>
              <w:rPr>
                <w:rFonts w:asciiTheme="majorHAnsi" w:hAnsiTheme="majorHAnsi" w:cstheme="minorHAnsi"/>
                <w:b/>
                <w:bCs/>
                <w:color w:val="000000"/>
                <w:sz w:val="24"/>
                <w:szCs w:val="24"/>
              </w:rPr>
            </w:pPr>
          </w:p>
        </w:tc>
        <w:tc>
          <w:tcPr>
            <w:tcW w:w="2978" w:type="dxa"/>
            <w:tcBorders>
              <w:top w:val="nil"/>
              <w:left w:val="nil"/>
              <w:bottom w:val="single" w:sz="8" w:space="0" w:color="auto"/>
              <w:right w:val="single" w:sz="8" w:space="0" w:color="auto"/>
            </w:tcBorders>
            <w:shd w:val="clear" w:color="auto" w:fill="auto"/>
            <w:vAlign w:val="center"/>
            <w:hideMark/>
          </w:tcPr>
          <w:p w:rsidR="00BA0FB0" w:rsidRPr="00793447" w:rsidRDefault="00BA0FB0" w:rsidP="00BA0FB0">
            <w:pPr>
              <w:spacing w:after="0"/>
              <w:jc w:val="center"/>
              <w:rPr>
                <w:rFonts w:asciiTheme="majorHAnsi" w:hAnsiTheme="majorHAnsi" w:cstheme="minorHAnsi"/>
                <w:i/>
                <w:iCs/>
                <w:color w:val="000000"/>
                <w:sz w:val="24"/>
                <w:szCs w:val="24"/>
              </w:rPr>
            </w:pPr>
            <w:r w:rsidRPr="00793447">
              <w:rPr>
                <w:rFonts w:asciiTheme="majorHAnsi" w:hAnsiTheme="majorHAnsi" w:cstheme="minorHAnsi"/>
                <w:i/>
                <w:iCs/>
                <w:color w:val="000000"/>
                <w:sz w:val="24"/>
                <w:szCs w:val="24"/>
              </w:rPr>
              <w:t>Prahova</w:t>
            </w:r>
          </w:p>
        </w:tc>
        <w:tc>
          <w:tcPr>
            <w:tcW w:w="1559"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706</w:t>
            </w:r>
          </w:p>
        </w:tc>
        <w:tc>
          <w:tcPr>
            <w:tcW w:w="1701" w:type="dxa"/>
            <w:tcBorders>
              <w:top w:val="nil"/>
              <w:left w:val="nil"/>
              <w:bottom w:val="single" w:sz="8" w:space="0" w:color="auto"/>
              <w:right w:val="single" w:sz="8" w:space="0" w:color="auto"/>
            </w:tcBorders>
            <w:shd w:val="clear" w:color="000000" w:fill="FFFFFF"/>
            <w:vAlign w:val="center"/>
            <w:hideMark/>
          </w:tcPr>
          <w:p w:rsidR="00BA0FB0" w:rsidRPr="00793447" w:rsidRDefault="00BA0FB0" w:rsidP="00BA0FB0">
            <w:pPr>
              <w:spacing w:after="0"/>
              <w:jc w:val="right"/>
              <w:rPr>
                <w:rFonts w:asciiTheme="majorHAnsi" w:hAnsiTheme="majorHAnsi" w:cs="Calibri"/>
                <w:i/>
                <w:color w:val="000000"/>
                <w:sz w:val="24"/>
                <w:szCs w:val="24"/>
              </w:rPr>
            </w:pPr>
            <w:r w:rsidRPr="00793447">
              <w:rPr>
                <w:rFonts w:asciiTheme="majorHAnsi" w:hAnsiTheme="majorHAnsi" w:cs="Calibri"/>
                <w:i/>
                <w:color w:val="000000"/>
                <w:sz w:val="24"/>
                <w:szCs w:val="24"/>
              </w:rPr>
              <w:t>797</w:t>
            </w:r>
          </w:p>
        </w:tc>
        <w:tc>
          <w:tcPr>
            <w:tcW w:w="1843" w:type="dxa"/>
            <w:tcBorders>
              <w:top w:val="nil"/>
              <w:left w:val="nil"/>
              <w:bottom w:val="single" w:sz="8" w:space="0" w:color="auto"/>
              <w:right w:val="single" w:sz="8" w:space="0" w:color="auto"/>
            </w:tcBorders>
            <w:shd w:val="clear" w:color="auto" w:fill="auto"/>
            <w:noWrap/>
            <w:vAlign w:val="bottom"/>
            <w:hideMark/>
          </w:tcPr>
          <w:p w:rsidR="00BA0FB0" w:rsidRPr="00793447" w:rsidRDefault="00BA0FB0" w:rsidP="00BA0FB0">
            <w:pPr>
              <w:spacing w:after="0"/>
              <w:jc w:val="center"/>
              <w:rPr>
                <w:rFonts w:asciiTheme="majorHAnsi" w:hAnsiTheme="majorHAnsi" w:cs="Calibri"/>
                <w:i/>
                <w:color w:val="000000"/>
                <w:sz w:val="24"/>
                <w:szCs w:val="24"/>
              </w:rPr>
            </w:pPr>
            <w:r w:rsidRPr="00793447">
              <w:rPr>
                <w:rFonts w:asciiTheme="majorHAnsi" w:hAnsiTheme="majorHAnsi" w:cs="Calibri"/>
                <w:i/>
                <w:color w:val="000000"/>
                <w:sz w:val="24"/>
                <w:szCs w:val="24"/>
              </w:rPr>
              <w:t>91</w:t>
            </w:r>
          </w:p>
        </w:tc>
      </w:tr>
    </w:tbl>
    <w:p w:rsidR="00BA0FB0" w:rsidRPr="00793447" w:rsidRDefault="00BA0FB0" w:rsidP="00BA0FB0">
      <w:pPr>
        <w:tabs>
          <w:tab w:val="left" w:pos="0"/>
        </w:tabs>
        <w:ind w:right="57"/>
        <w:jc w:val="both"/>
        <w:rPr>
          <w:rFonts w:asciiTheme="majorHAnsi" w:hAnsiTheme="majorHAnsi"/>
          <w:color w:val="FF0000"/>
          <w:sz w:val="24"/>
          <w:szCs w:val="24"/>
        </w:rPr>
      </w:pPr>
    </w:p>
    <w:p w:rsidR="00BA0FB0" w:rsidRPr="00793447" w:rsidRDefault="00BA0FB0" w:rsidP="00BA0FB0">
      <w:pPr>
        <w:spacing w:after="0" w:line="240" w:lineRule="auto"/>
        <w:ind w:firstLine="426"/>
        <w:jc w:val="both"/>
        <w:rPr>
          <w:rFonts w:asciiTheme="majorHAnsi" w:hAnsiTheme="majorHAnsi"/>
          <w:sz w:val="24"/>
          <w:szCs w:val="24"/>
        </w:rPr>
      </w:pPr>
      <w:r w:rsidRPr="00531544">
        <w:rPr>
          <w:rFonts w:asciiTheme="majorHAnsi" w:hAnsiTheme="majorHAnsi"/>
          <w:sz w:val="24"/>
          <w:szCs w:val="24"/>
        </w:rPr>
        <w:t>În cadrul analizei situației pensionarilor, se constată că există o variație semnificativă, în profil teritorial, a nivelului pensiilor asigurărilor sociale de stat.</w:t>
      </w:r>
    </w:p>
    <w:p w:rsidR="00871D27" w:rsidRPr="00793447" w:rsidRDefault="00871D27" w:rsidP="00871D27">
      <w:pPr>
        <w:tabs>
          <w:tab w:val="left" w:pos="142"/>
        </w:tabs>
        <w:ind w:left="198" w:right="57"/>
        <w:jc w:val="center"/>
        <w:rPr>
          <w:rFonts w:asciiTheme="majorHAnsi" w:hAnsiTheme="majorHAnsi" w:cs="Calibri"/>
          <w:b/>
          <w:bCs/>
          <w:color w:val="FF0000"/>
          <w:sz w:val="24"/>
          <w:szCs w:val="24"/>
        </w:rPr>
      </w:pPr>
    </w:p>
    <w:p w:rsidR="00BA0FB0" w:rsidRPr="00793447" w:rsidRDefault="00531544" w:rsidP="00871D27">
      <w:pPr>
        <w:tabs>
          <w:tab w:val="left" w:pos="142"/>
        </w:tabs>
        <w:ind w:left="198" w:right="57"/>
        <w:jc w:val="center"/>
        <w:rPr>
          <w:rFonts w:asciiTheme="majorHAnsi" w:hAnsiTheme="majorHAnsi" w:cs="Arial"/>
          <w:b/>
          <w:color w:val="FF0000"/>
          <w:sz w:val="24"/>
          <w:szCs w:val="24"/>
          <w:lang w:val="it-IT"/>
        </w:rPr>
      </w:pPr>
      <w:r w:rsidRPr="00531544">
        <w:rPr>
          <w:rFonts w:asciiTheme="majorHAnsi" w:hAnsiTheme="majorHAnsi" w:cs="Arial"/>
          <w:b/>
          <w:noProof/>
          <w:color w:val="FF0000"/>
          <w:sz w:val="12"/>
          <w:szCs w:val="12"/>
        </w:rPr>
        <w:drawing>
          <wp:inline distT="0" distB="0" distL="0" distR="0">
            <wp:extent cx="6217920" cy="3689131"/>
            <wp:effectExtent l="0" t="0" r="11430" b="698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28E7" w:rsidRPr="00793447" w:rsidRDefault="00CD28E7" w:rsidP="00531544">
      <w:pPr>
        <w:spacing w:line="240" w:lineRule="auto"/>
        <w:ind w:firstLine="567"/>
        <w:outlineLvl w:val="0"/>
        <w:rPr>
          <w:rFonts w:asciiTheme="majorHAnsi" w:hAnsiTheme="majorHAnsi"/>
          <w:b/>
          <w:sz w:val="24"/>
          <w:szCs w:val="24"/>
          <w:lang w:val="ro-RO"/>
        </w:rPr>
      </w:pPr>
    </w:p>
    <w:p w:rsidR="006A0308" w:rsidRPr="00793447" w:rsidRDefault="006A0308" w:rsidP="006A0308">
      <w:pPr>
        <w:spacing w:line="240" w:lineRule="auto"/>
        <w:ind w:firstLine="567"/>
        <w:outlineLvl w:val="0"/>
        <w:rPr>
          <w:rFonts w:asciiTheme="majorHAnsi" w:hAnsiTheme="majorHAnsi"/>
          <w:b/>
          <w:sz w:val="24"/>
          <w:szCs w:val="24"/>
          <w:lang w:val="ro-RO"/>
        </w:rPr>
      </w:pPr>
      <w:r w:rsidRPr="00793447">
        <w:rPr>
          <w:rFonts w:asciiTheme="majorHAnsi" w:hAnsiTheme="majorHAnsi"/>
          <w:b/>
          <w:sz w:val="24"/>
          <w:szCs w:val="24"/>
          <w:lang w:val="ro-RO"/>
        </w:rPr>
        <w:t>II. STATISTICĂ ECONOMICĂ</w:t>
      </w:r>
    </w:p>
    <w:p w:rsidR="00196E00" w:rsidRPr="00793447" w:rsidRDefault="00196E00" w:rsidP="004C4FB0">
      <w:pPr>
        <w:spacing w:after="0" w:line="240" w:lineRule="auto"/>
        <w:ind w:firstLine="720"/>
        <w:rPr>
          <w:rFonts w:asciiTheme="majorHAnsi" w:hAnsiTheme="majorHAnsi" w:cs="Arial"/>
          <w:b/>
          <w:sz w:val="24"/>
          <w:szCs w:val="24"/>
          <w:lang w:val="ro-RO"/>
        </w:rPr>
      </w:pPr>
    </w:p>
    <w:p w:rsidR="004C4FB0" w:rsidRPr="00793447" w:rsidRDefault="004475F9" w:rsidP="004475F9">
      <w:pPr>
        <w:spacing w:after="0" w:line="240" w:lineRule="auto"/>
        <w:rPr>
          <w:rFonts w:asciiTheme="majorHAnsi" w:hAnsiTheme="majorHAnsi" w:cs="Arial"/>
          <w:b/>
          <w:sz w:val="24"/>
          <w:szCs w:val="24"/>
          <w:lang w:val="ro-RO"/>
        </w:rPr>
      </w:pPr>
      <w:r w:rsidRPr="00793447">
        <w:rPr>
          <w:rFonts w:asciiTheme="majorHAnsi" w:hAnsiTheme="majorHAnsi" w:cs="Arial"/>
          <w:b/>
          <w:sz w:val="24"/>
          <w:szCs w:val="24"/>
          <w:lang w:val="ro-RO"/>
        </w:rPr>
        <w:t xml:space="preserve">2.1. </w:t>
      </w:r>
      <w:r w:rsidR="006A0308" w:rsidRPr="00793447">
        <w:rPr>
          <w:rFonts w:asciiTheme="majorHAnsi" w:hAnsiTheme="majorHAnsi" w:cs="Arial"/>
          <w:b/>
          <w:caps/>
          <w:sz w:val="24"/>
          <w:szCs w:val="24"/>
          <w:lang w:val="ro-RO"/>
        </w:rPr>
        <w:t>Industrie</w:t>
      </w:r>
      <w:r w:rsidR="00531544">
        <w:rPr>
          <w:rFonts w:asciiTheme="majorHAnsi" w:hAnsiTheme="majorHAnsi" w:cs="Arial"/>
          <w:b/>
          <w:caps/>
          <w:sz w:val="24"/>
          <w:szCs w:val="24"/>
          <w:lang w:val="ro-RO"/>
        </w:rPr>
        <w:t xml:space="preserve"> </w:t>
      </w:r>
      <w:r w:rsidR="00930B66">
        <w:rPr>
          <w:rFonts w:asciiTheme="majorHAnsi" w:hAnsiTheme="majorHAnsi" w:cs="Arial"/>
          <w:b/>
          <w:caps/>
          <w:sz w:val="24"/>
          <w:szCs w:val="24"/>
          <w:lang w:val="ro-RO"/>
        </w:rPr>
        <w:t>-</w:t>
      </w:r>
      <w:r w:rsidR="00531544">
        <w:rPr>
          <w:rFonts w:asciiTheme="majorHAnsi" w:hAnsiTheme="majorHAnsi" w:cs="Arial"/>
          <w:b/>
          <w:caps/>
          <w:sz w:val="24"/>
          <w:szCs w:val="24"/>
          <w:lang w:val="ro-RO"/>
        </w:rPr>
        <w:t xml:space="preserve"> semestrul I 2023</w:t>
      </w:r>
    </w:p>
    <w:p w:rsidR="007C2F5A" w:rsidRPr="00793447" w:rsidRDefault="007C2F5A" w:rsidP="004C4FB0">
      <w:pPr>
        <w:spacing w:after="0" w:line="240" w:lineRule="auto"/>
        <w:ind w:firstLine="720"/>
        <w:rPr>
          <w:rFonts w:asciiTheme="majorHAnsi" w:hAnsiTheme="majorHAnsi" w:cs="Arial"/>
          <w:b/>
          <w:caps/>
          <w:sz w:val="24"/>
          <w:szCs w:val="24"/>
          <w:lang w:val="ro-RO"/>
        </w:rPr>
      </w:pPr>
    </w:p>
    <w:p w:rsidR="001D1AEC" w:rsidRPr="00793447" w:rsidRDefault="001D1AEC" w:rsidP="00531544">
      <w:pPr>
        <w:spacing w:after="0" w:line="240" w:lineRule="auto"/>
        <w:ind w:firstLine="720"/>
        <w:jc w:val="both"/>
        <w:rPr>
          <w:rFonts w:asciiTheme="majorHAnsi" w:hAnsiTheme="majorHAnsi"/>
          <w:sz w:val="24"/>
          <w:szCs w:val="24"/>
          <w:lang w:val="it-IT"/>
        </w:rPr>
      </w:pPr>
      <w:r w:rsidRPr="00793447">
        <w:rPr>
          <w:rFonts w:asciiTheme="majorHAnsi" w:hAnsiTheme="majorHAnsi"/>
          <w:sz w:val="24"/>
          <w:szCs w:val="24"/>
          <w:lang w:val="it-IT"/>
        </w:rPr>
        <w:t xml:space="preserve">Indicele producţiei industriale și </w:t>
      </w:r>
      <w:r w:rsidRPr="00793447">
        <w:rPr>
          <w:rFonts w:asciiTheme="majorHAnsi" w:hAnsiTheme="majorHAnsi" w:cs="Arial"/>
          <w:sz w:val="24"/>
          <w:szCs w:val="24"/>
        </w:rPr>
        <w:t xml:space="preserve">indicele valoric al cifrei de afaceri din industrie </w:t>
      </w:r>
      <w:r w:rsidRPr="00793447">
        <w:rPr>
          <w:rFonts w:asciiTheme="majorHAnsi" w:hAnsiTheme="majorHAnsi"/>
          <w:sz w:val="24"/>
          <w:szCs w:val="24"/>
          <w:lang w:val="it-IT"/>
        </w:rPr>
        <w:t>sunt mijloace importante de evaluare a activităţii economice.</w:t>
      </w:r>
    </w:p>
    <w:p w:rsidR="001D1AEC" w:rsidRPr="00793447" w:rsidRDefault="001D1AEC" w:rsidP="00531544">
      <w:pPr>
        <w:spacing w:after="0" w:line="240" w:lineRule="auto"/>
        <w:ind w:firstLine="720"/>
        <w:jc w:val="both"/>
        <w:rPr>
          <w:rFonts w:asciiTheme="majorHAnsi" w:hAnsiTheme="majorHAnsi"/>
          <w:sz w:val="24"/>
          <w:szCs w:val="24"/>
          <w:lang w:val="it-IT"/>
        </w:rPr>
      </w:pPr>
      <w:r w:rsidRPr="00793447">
        <w:rPr>
          <w:rFonts w:asciiTheme="majorHAnsi" w:hAnsiTheme="majorHAnsi"/>
          <w:sz w:val="24"/>
          <w:szCs w:val="24"/>
          <w:lang w:val="it-IT"/>
        </w:rPr>
        <w:t>Pentru statisticile pe termen scurt, acești indici reprezintă indicatori de referinţă pentru dezvoltarea economică şi sunt folosiți pentru identificarea timpurie a punctelor în care au loc modificări în evoluţia ciclurilor economice.</w:t>
      </w:r>
    </w:p>
    <w:p w:rsidR="00872479" w:rsidRPr="00793447" w:rsidRDefault="00872479" w:rsidP="00531544">
      <w:pPr>
        <w:spacing w:after="0" w:line="240" w:lineRule="auto"/>
        <w:ind w:firstLine="720"/>
        <w:jc w:val="both"/>
        <w:rPr>
          <w:rFonts w:asciiTheme="majorHAnsi" w:hAnsiTheme="majorHAnsi"/>
          <w:sz w:val="24"/>
          <w:szCs w:val="24"/>
        </w:rPr>
      </w:pPr>
      <w:r w:rsidRPr="00793447">
        <w:rPr>
          <w:rFonts w:asciiTheme="majorHAnsi" w:hAnsiTheme="majorHAnsi"/>
          <w:sz w:val="24"/>
          <w:szCs w:val="24"/>
        </w:rPr>
        <w:t>Indicele producţiei industriale (IPI)</w:t>
      </w:r>
      <w:r w:rsidRPr="00793447">
        <w:rPr>
          <w:rFonts w:asciiTheme="majorHAnsi" w:hAnsiTheme="majorHAnsi"/>
          <w:sz w:val="24"/>
          <w:szCs w:val="24"/>
          <w:vertAlign w:val="superscript"/>
        </w:rPr>
        <w:footnoteReference w:id="6"/>
      </w:r>
      <w:r w:rsidR="00203B51" w:rsidRPr="00793447">
        <w:rPr>
          <w:rFonts w:asciiTheme="majorHAnsi" w:hAnsiTheme="majorHAnsi"/>
          <w:sz w:val="24"/>
          <w:szCs w:val="24"/>
        </w:rPr>
        <w:t xml:space="preserve"> </w:t>
      </w:r>
      <w:r w:rsidRPr="00793447">
        <w:rPr>
          <w:rFonts w:asciiTheme="majorHAnsi" w:hAnsiTheme="majorHAnsi"/>
          <w:sz w:val="24"/>
          <w:szCs w:val="24"/>
        </w:rPr>
        <w:t xml:space="preserve">în </w:t>
      </w:r>
      <w:bookmarkStart w:id="3" w:name="OLE_LINK2"/>
      <w:bookmarkStart w:id="4" w:name="OLE_LINK3"/>
      <w:r w:rsidRPr="00793447">
        <w:rPr>
          <w:rFonts w:asciiTheme="majorHAnsi" w:hAnsiTheme="majorHAnsi"/>
          <w:sz w:val="24"/>
          <w:szCs w:val="24"/>
        </w:rPr>
        <w:t>primul semestru din anul  2023</w:t>
      </w:r>
      <w:bookmarkEnd w:id="3"/>
      <w:bookmarkEnd w:id="4"/>
      <w:r w:rsidRPr="00793447">
        <w:rPr>
          <w:rFonts w:asciiTheme="majorHAnsi" w:hAnsiTheme="majorHAnsi"/>
          <w:sz w:val="24"/>
          <w:szCs w:val="24"/>
        </w:rPr>
        <w:t xml:space="preserve"> faţă de perioada corespunzătoare din anul precedent, calculat ca serie brută, a fost de 101,6%.</w:t>
      </w:r>
    </w:p>
    <w:p w:rsidR="00702835" w:rsidRPr="00793447" w:rsidRDefault="00872479" w:rsidP="00531544">
      <w:pPr>
        <w:spacing w:after="0" w:line="240" w:lineRule="auto"/>
        <w:ind w:firstLine="720"/>
        <w:jc w:val="both"/>
        <w:rPr>
          <w:rFonts w:asciiTheme="majorHAnsi" w:hAnsiTheme="majorHAnsi" w:cs="Arial"/>
          <w:sz w:val="24"/>
          <w:szCs w:val="24"/>
        </w:rPr>
      </w:pPr>
      <w:r w:rsidRPr="00793447">
        <w:rPr>
          <w:rFonts w:asciiTheme="majorHAnsi" w:hAnsiTheme="majorHAnsi"/>
          <w:sz w:val="24"/>
          <w:szCs w:val="24"/>
        </w:rPr>
        <w:t>În semestrul I 2023 faţă de semestrul I 2022, indicele valoric al cifrei de afaceri din industrie pe total (ICA)</w:t>
      </w:r>
      <w:r w:rsidRPr="00793447">
        <w:rPr>
          <w:rFonts w:asciiTheme="majorHAnsi" w:hAnsiTheme="majorHAnsi"/>
          <w:sz w:val="24"/>
          <w:szCs w:val="24"/>
          <w:vertAlign w:val="superscript"/>
        </w:rPr>
        <w:footnoteReference w:id="7"/>
      </w:r>
      <w:r w:rsidR="00203B51" w:rsidRPr="00793447">
        <w:rPr>
          <w:rFonts w:asciiTheme="majorHAnsi" w:hAnsiTheme="majorHAnsi"/>
          <w:sz w:val="24"/>
          <w:szCs w:val="24"/>
          <w:vertAlign w:val="superscript"/>
        </w:rPr>
        <w:t xml:space="preserve"> </w:t>
      </w:r>
      <w:r w:rsidR="00203B51" w:rsidRPr="00793447">
        <w:rPr>
          <w:rFonts w:asciiTheme="majorHAnsi" w:hAnsiTheme="majorHAnsi" w:cstheme="minorHAnsi"/>
          <w:sz w:val="24"/>
          <w:szCs w:val="24"/>
        </w:rPr>
        <w:t xml:space="preserve">a fost de 111,3%. </w:t>
      </w:r>
      <w:r w:rsidRPr="00793447">
        <w:rPr>
          <w:rFonts w:asciiTheme="majorHAnsi" w:hAnsiTheme="majorHAnsi" w:cs="Arial"/>
          <w:sz w:val="24"/>
          <w:szCs w:val="24"/>
          <w:vertAlign w:val="superscript"/>
        </w:rPr>
        <w:t xml:space="preserve"> </w:t>
      </w:r>
    </w:p>
    <w:p w:rsidR="00702835" w:rsidRPr="00793447" w:rsidRDefault="00702835" w:rsidP="00196E00">
      <w:pPr>
        <w:spacing w:after="0" w:line="240" w:lineRule="auto"/>
        <w:ind w:firstLine="720"/>
        <w:rPr>
          <w:rFonts w:asciiTheme="majorHAnsi" w:hAnsiTheme="majorHAnsi" w:cs="Arial"/>
          <w:sz w:val="24"/>
          <w:szCs w:val="24"/>
        </w:rPr>
      </w:pPr>
    </w:p>
    <w:p w:rsidR="00702835" w:rsidRPr="00793447" w:rsidRDefault="00872479" w:rsidP="006E28AA">
      <w:pPr>
        <w:jc w:val="center"/>
        <w:rPr>
          <w:rFonts w:asciiTheme="majorHAnsi" w:hAnsiTheme="majorHAnsi" w:cs="Arial"/>
          <w:b/>
          <w:sz w:val="24"/>
          <w:szCs w:val="24"/>
        </w:rPr>
      </w:pPr>
      <w:r w:rsidRPr="00793447">
        <w:rPr>
          <w:rFonts w:asciiTheme="majorHAnsi" w:hAnsiTheme="majorHAnsi" w:cs="Arial"/>
          <w:b/>
          <w:noProof/>
          <w:sz w:val="24"/>
          <w:szCs w:val="24"/>
        </w:rPr>
        <w:drawing>
          <wp:inline distT="0" distB="0" distL="0" distR="0" wp14:anchorId="2051F036" wp14:editId="02790570">
            <wp:extent cx="6120765" cy="326419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0308" w:rsidRPr="00793447" w:rsidRDefault="00042CCB" w:rsidP="00A62C63">
      <w:pPr>
        <w:spacing w:line="360" w:lineRule="auto"/>
        <w:rPr>
          <w:rFonts w:asciiTheme="majorHAnsi" w:hAnsiTheme="majorHAnsi" w:cs="Calibri"/>
          <w:b/>
          <w:caps/>
          <w:sz w:val="24"/>
          <w:szCs w:val="24"/>
          <w:lang w:val="fr-FR"/>
        </w:rPr>
      </w:pPr>
      <w:r w:rsidRPr="00793447">
        <w:rPr>
          <w:rFonts w:asciiTheme="majorHAnsi" w:hAnsiTheme="majorHAnsi" w:cs="Calibri"/>
          <w:b/>
          <w:caps/>
          <w:sz w:val="24"/>
          <w:szCs w:val="24"/>
          <w:lang w:val="fr-FR"/>
        </w:rPr>
        <w:t xml:space="preserve">2.2. </w:t>
      </w:r>
      <w:r w:rsidR="006A0308" w:rsidRPr="00793447">
        <w:rPr>
          <w:rFonts w:asciiTheme="majorHAnsi" w:hAnsiTheme="majorHAnsi" w:cs="Calibri"/>
          <w:b/>
          <w:caps/>
          <w:sz w:val="24"/>
          <w:szCs w:val="24"/>
          <w:lang w:val="fr-FR"/>
        </w:rPr>
        <w:t>Comer</w:t>
      </w:r>
      <w:r w:rsidRPr="00793447">
        <w:rPr>
          <w:rFonts w:asciiTheme="majorHAnsi" w:hAnsiTheme="majorHAnsi" w:cs="Calibri"/>
          <w:b/>
          <w:caps/>
          <w:sz w:val="24"/>
          <w:szCs w:val="24"/>
          <w:lang w:val="fr-FR"/>
        </w:rPr>
        <w:t>Țul internaȚ</w:t>
      </w:r>
      <w:r w:rsidR="006A0308" w:rsidRPr="00793447">
        <w:rPr>
          <w:rFonts w:asciiTheme="majorHAnsi" w:hAnsiTheme="majorHAnsi" w:cs="Calibri"/>
          <w:b/>
          <w:caps/>
          <w:sz w:val="24"/>
          <w:szCs w:val="24"/>
          <w:lang w:val="fr-FR"/>
        </w:rPr>
        <w:t xml:space="preserve">ional cu bunuri </w:t>
      </w:r>
      <w:r w:rsidR="00531544">
        <w:rPr>
          <w:rFonts w:asciiTheme="majorHAnsi" w:hAnsiTheme="majorHAnsi" w:cs="Calibri"/>
          <w:b/>
          <w:caps/>
          <w:sz w:val="24"/>
          <w:szCs w:val="24"/>
          <w:lang w:val="fr-FR"/>
        </w:rPr>
        <w:t>din semestrul I 2023</w:t>
      </w:r>
    </w:p>
    <w:p w:rsidR="00931084" w:rsidRPr="00793447" w:rsidRDefault="00DB406D" w:rsidP="00DB406D">
      <w:pPr>
        <w:spacing w:after="0" w:line="240" w:lineRule="auto"/>
        <w:ind w:firstLine="567"/>
        <w:jc w:val="both"/>
        <w:rPr>
          <w:rFonts w:asciiTheme="majorHAnsi" w:hAnsiTheme="majorHAnsi" w:cs="Arial"/>
          <w:sz w:val="24"/>
          <w:szCs w:val="24"/>
        </w:rPr>
      </w:pPr>
      <w:bookmarkStart w:id="5" w:name="_Toc63072206"/>
      <w:bookmarkStart w:id="6" w:name="_Toc81828241"/>
      <w:r w:rsidRPr="00793447">
        <w:rPr>
          <w:rFonts w:asciiTheme="majorHAnsi" w:hAnsiTheme="majorHAnsi" w:cs="Arial"/>
          <w:sz w:val="24"/>
          <w:szCs w:val="24"/>
        </w:rPr>
        <w:t xml:space="preserve">Valoarea exporturilor (FOB) din judeţul Prahova a fost în </w:t>
      </w:r>
      <w:r w:rsidR="00D72A00" w:rsidRPr="00793447">
        <w:rPr>
          <w:rFonts w:asciiTheme="majorHAnsi" w:hAnsiTheme="majorHAnsi" w:cs="Arial"/>
          <w:sz w:val="24"/>
          <w:szCs w:val="24"/>
        </w:rPr>
        <w:t>semestrul I 2023</w:t>
      </w:r>
      <w:r w:rsidRPr="00793447">
        <w:rPr>
          <w:rFonts w:asciiTheme="majorHAnsi" w:hAnsiTheme="majorHAnsi" w:cs="Arial"/>
          <w:sz w:val="24"/>
          <w:szCs w:val="24"/>
        </w:rPr>
        <w:t xml:space="preserve">, în valoare de </w:t>
      </w:r>
      <w:r w:rsidR="00D72A00" w:rsidRPr="00793447">
        <w:rPr>
          <w:rFonts w:asciiTheme="majorHAnsi" w:hAnsiTheme="majorHAnsi" w:cs="Arial"/>
          <w:sz w:val="24"/>
          <w:szCs w:val="24"/>
        </w:rPr>
        <w:t>1497742</w:t>
      </w:r>
      <w:r w:rsidR="009744FF" w:rsidRPr="00793447">
        <w:rPr>
          <w:rFonts w:asciiTheme="majorHAnsi" w:hAnsiTheme="majorHAnsi" w:cs="Arial"/>
          <w:sz w:val="24"/>
          <w:szCs w:val="24"/>
        </w:rPr>
        <w:t xml:space="preserve"> </w:t>
      </w:r>
      <w:r w:rsidRPr="00793447">
        <w:rPr>
          <w:rFonts w:asciiTheme="majorHAnsi" w:hAnsiTheme="majorHAnsi" w:cs="Arial"/>
          <w:sz w:val="24"/>
          <w:szCs w:val="24"/>
        </w:rPr>
        <w:t>mii euro</w:t>
      </w:r>
      <w:r w:rsidR="00931084" w:rsidRPr="00793447">
        <w:rPr>
          <w:rFonts w:asciiTheme="majorHAnsi" w:hAnsiTheme="majorHAnsi" w:cs="Arial"/>
          <w:sz w:val="24"/>
          <w:szCs w:val="24"/>
        </w:rPr>
        <w:t>,</w:t>
      </w:r>
      <w:r w:rsidR="00931084" w:rsidRPr="00793447">
        <w:rPr>
          <w:rFonts w:asciiTheme="majorHAnsi" w:hAnsiTheme="majorHAnsi"/>
          <w:sz w:val="24"/>
          <w:szCs w:val="24"/>
        </w:rPr>
        <w:t xml:space="preserve"> </w:t>
      </w:r>
      <w:r w:rsidR="00931084" w:rsidRPr="00793447">
        <w:rPr>
          <w:rFonts w:asciiTheme="majorHAnsi" w:hAnsiTheme="majorHAnsi" w:cs="Arial"/>
          <w:sz w:val="24"/>
          <w:szCs w:val="24"/>
        </w:rPr>
        <w:t xml:space="preserve">din care </w:t>
      </w:r>
      <w:r w:rsidR="00F025B8" w:rsidRPr="00793447">
        <w:rPr>
          <w:rFonts w:asciiTheme="majorHAnsi" w:hAnsiTheme="majorHAnsi" w:cs="Arial"/>
          <w:sz w:val="24"/>
          <w:szCs w:val="24"/>
        </w:rPr>
        <w:t>946760</w:t>
      </w:r>
      <w:r w:rsidR="00931084" w:rsidRPr="00793447">
        <w:rPr>
          <w:rFonts w:asciiTheme="majorHAnsi" w:hAnsiTheme="majorHAnsi" w:cs="Arial"/>
          <w:sz w:val="24"/>
          <w:szCs w:val="24"/>
        </w:rPr>
        <w:t xml:space="preserve"> mii euro (</w:t>
      </w:r>
      <w:r w:rsidR="00F025B8" w:rsidRPr="00793447">
        <w:rPr>
          <w:rFonts w:asciiTheme="majorHAnsi" w:hAnsiTheme="majorHAnsi" w:cs="Arial"/>
          <w:sz w:val="24"/>
          <w:szCs w:val="24"/>
        </w:rPr>
        <w:t>63,2</w:t>
      </w:r>
      <w:r w:rsidR="00931084" w:rsidRPr="00793447">
        <w:rPr>
          <w:rFonts w:asciiTheme="majorHAnsi" w:hAnsiTheme="majorHAnsi" w:cs="Arial"/>
          <w:sz w:val="24"/>
          <w:szCs w:val="24"/>
        </w:rPr>
        <w:t>%) INTRA UE27</w:t>
      </w:r>
      <w:r w:rsidR="00C26936" w:rsidRPr="00793447">
        <w:rPr>
          <w:rStyle w:val="FootnoteReference"/>
          <w:rFonts w:asciiTheme="majorHAnsi" w:hAnsiTheme="majorHAnsi" w:cs="Arial"/>
          <w:sz w:val="24"/>
          <w:szCs w:val="24"/>
        </w:rPr>
        <w:footnoteReference w:id="8"/>
      </w:r>
      <w:r w:rsidR="006434B9" w:rsidRPr="00793447">
        <w:rPr>
          <w:rFonts w:asciiTheme="majorHAnsi" w:hAnsiTheme="majorHAnsi" w:cs="Arial"/>
          <w:sz w:val="24"/>
          <w:szCs w:val="24"/>
        </w:rPr>
        <w:t xml:space="preserve"> </w:t>
      </w:r>
      <w:r w:rsidRPr="00793447">
        <w:rPr>
          <w:rFonts w:asciiTheme="majorHAnsi" w:hAnsiTheme="majorHAnsi" w:cs="Arial"/>
          <w:sz w:val="24"/>
          <w:szCs w:val="24"/>
        </w:rPr>
        <w:t xml:space="preserve">. </w:t>
      </w:r>
    </w:p>
    <w:p w:rsidR="00DB406D" w:rsidRPr="00793447" w:rsidRDefault="00DB406D" w:rsidP="00DB406D">
      <w:pPr>
        <w:spacing w:after="0" w:line="240" w:lineRule="auto"/>
        <w:ind w:firstLine="567"/>
        <w:jc w:val="both"/>
        <w:rPr>
          <w:rFonts w:asciiTheme="majorHAnsi" w:hAnsiTheme="majorHAnsi" w:cs="Arial"/>
          <w:sz w:val="24"/>
          <w:szCs w:val="24"/>
        </w:rPr>
      </w:pPr>
      <w:r w:rsidRPr="00793447">
        <w:rPr>
          <w:rFonts w:asciiTheme="majorHAnsi" w:hAnsiTheme="majorHAnsi" w:cs="Arial"/>
          <w:sz w:val="24"/>
          <w:szCs w:val="24"/>
        </w:rPr>
        <w:t xml:space="preserve">Comparativ </w:t>
      </w:r>
      <w:r w:rsidR="00834136" w:rsidRPr="00793447">
        <w:rPr>
          <w:rFonts w:asciiTheme="majorHAnsi" w:hAnsiTheme="majorHAnsi" w:cs="Arial"/>
          <w:sz w:val="24"/>
          <w:szCs w:val="24"/>
        </w:rPr>
        <w:t xml:space="preserve">cu aceeaşi perioadă </w:t>
      </w:r>
      <w:r w:rsidRPr="00793447">
        <w:rPr>
          <w:rFonts w:asciiTheme="majorHAnsi" w:hAnsiTheme="majorHAnsi" w:cs="Arial"/>
          <w:sz w:val="24"/>
          <w:szCs w:val="24"/>
        </w:rPr>
        <w:t xml:space="preserve">din anul </w:t>
      </w:r>
      <w:r w:rsidR="00583A47" w:rsidRPr="00793447">
        <w:rPr>
          <w:rFonts w:asciiTheme="majorHAnsi" w:hAnsiTheme="majorHAnsi" w:cs="Arial"/>
          <w:sz w:val="24"/>
          <w:szCs w:val="24"/>
        </w:rPr>
        <w:t>2022</w:t>
      </w:r>
      <w:r w:rsidRPr="00793447">
        <w:rPr>
          <w:rFonts w:asciiTheme="majorHAnsi" w:hAnsiTheme="majorHAnsi" w:cs="Arial"/>
          <w:sz w:val="24"/>
          <w:szCs w:val="24"/>
        </w:rPr>
        <w:t xml:space="preserve"> exporturile au crescut cu </w:t>
      </w:r>
      <w:r w:rsidR="00D72A00" w:rsidRPr="00793447">
        <w:rPr>
          <w:rFonts w:asciiTheme="majorHAnsi" w:hAnsiTheme="majorHAnsi" w:cs="Arial"/>
          <w:sz w:val="24"/>
          <w:szCs w:val="24"/>
        </w:rPr>
        <w:t>6,8</w:t>
      </w:r>
      <w:r w:rsidRPr="00793447">
        <w:rPr>
          <w:rFonts w:asciiTheme="majorHAnsi" w:hAnsiTheme="majorHAnsi" w:cs="Arial"/>
          <w:sz w:val="24"/>
          <w:szCs w:val="24"/>
        </w:rPr>
        <w:t>%.</w:t>
      </w:r>
    </w:p>
    <w:p w:rsidR="00931084" w:rsidRPr="00793447" w:rsidRDefault="00DB406D" w:rsidP="00931084">
      <w:pPr>
        <w:spacing w:after="0" w:line="240" w:lineRule="auto"/>
        <w:ind w:firstLine="567"/>
        <w:jc w:val="both"/>
        <w:rPr>
          <w:rFonts w:asciiTheme="majorHAnsi" w:hAnsiTheme="majorHAnsi" w:cs="Arial"/>
          <w:sz w:val="24"/>
          <w:szCs w:val="24"/>
        </w:rPr>
      </w:pPr>
      <w:r w:rsidRPr="00793447">
        <w:rPr>
          <w:rFonts w:asciiTheme="majorHAnsi" w:hAnsiTheme="majorHAnsi" w:cs="Arial"/>
          <w:sz w:val="24"/>
          <w:szCs w:val="24"/>
        </w:rPr>
        <w:t xml:space="preserve">Valoarea importurilor (CIF) în </w:t>
      </w:r>
      <w:r w:rsidR="00D72A00" w:rsidRPr="00793447">
        <w:rPr>
          <w:rFonts w:asciiTheme="majorHAnsi" w:hAnsiTheme="majorHAnsi" w:cs="Arial"/>
          <w:sz w:val="24"/>
          <w:szCs w:val="24"/>
        </w:rPr>
        <w:t>semestrul I 2023</w:t>
      </w:r>
      <w:r w:rsidR="0008215A" w:rsidRPr="00793447">
        <w:rPr>
          <w:rFonts w:asciiTheme="majorHAnsi" w:hAnsiTheme="majorHAnsi" w:cs="Arial"/>
          <w:sz w:val="24"/>
          <w:szCs w:val="24"/>
        </w:rPr>
        <w:t xml:space="preserve"> </w:t>
      </w:r>
      <w:r w:rsidRPr="00793447">
        <w:rPr>
          <w:rFonts w:asciiTheme="majorHAnsi" w:hAnsiTheme="majorHAnsi" w:cs="Arial"/>
          <w:sz w:val="24"/>
          <w:szCs w:val="24"/>
        </w:rPr>
        <w:t xml:space="preserve">a fost de </w:t>
      </w:r>
      <w:r w:rsidR="00D72A00" w:rsidRPr="00793447">
        <w:rPr>
          <w:rFonts w:asciiTheme="majorHAnsi" w:hAnsiTheme="majorHAnsi" w:cs="Arial"/>
          <w:sz w:val="24"/>
          <w:szCs w:val="24"/>
        </w:rPr>
        <w:t>2152939</w:t>
      </w:r>
      <w:r w:rsidRPr="00793447">
        <w:rPr>
          <w:rFonts w:asciiTheme="majorHAnsi" w:hAnsiTheme="majorHAnsi" w:cs="Arial"/>
          <w:sz w:val="24"/>
          <w:szCs w:val="24"/>
        </w:rPr>
        <w:t xml:space="preserve"> mii euro</w:t>
      </w:r>
      <w:r w:rsidR="00931084" w:rsidRPr="00793447">
        <w:rPr>
          <w:rFonts w:asciiTheme="majorHAnsi" w:hAnsiTheme="majorHAnsi" w:cs="Arial"/>
          <w:sz w:val="24"/>
          <w:szCs w:val="24"/>
        </w:rPr>
        <w:t xml:space="preserve">, din care </w:t>
      </w:r>
      <w:r w:rsidR="00F025B8" w:rsidRPr="00793447">
        <w:rPr>
          <w:rFonts w:asciiTheme="majorHAnsi" w:hAnsiTheme="majorHAnsi" w:cs="Arial"/>
          <w:sz w:val="24"/>
          <w:szCs w:val="24"/>
        </w:rPr>
        <w:t>176094</w:t>
      </w:r>
      <w:r w:rsidR="003117BD" w:rsidRPr="00793447">
        <w:rPr>
          <w:rFonts w:asciiTheme="majorHAnsi" w:hAnsiTheme="majorHAnsi" w:cs="Arial"/>
          <w:sz w:val="24"/>
          <w:szCs w:val="24"/>
        </w:rPr>
        <w:t>7</w:t>
      </w:r>
      <w:r w:rsidR="00931084" w:rsidRPr="00793447">
        <w:rPr>
          <w:rFonts w:asciiTheme="majorHAnsi" w:hAnsiTheme="majorHAnsi" w:cs="Arial"/>
          <w:sz w:val="24"/>
          <w:szCs w:val="24"/>
        </w:rPr>
        <w:t xml:space="preserve"> mii euro (</w:t>
      </w:r>
      <w:r w:rsidR="008739FC" w:rsidRPr="00793447">
        <w:rPr>
          <w:rFonts w:asciiTheme="majorHAnsi" w:hAnsiTheme="majorHAnsi" w:cs="Arial"/>
          <w:sz w:val="24"/>
          <w:szCs w:val="24"/>
        </w:rPr>
        <w:t>81,8</w:t>
      </w:r>
      <w:r w:rsidR="00931084" w:rsidRPr="00793447">
        <w:rPr>
          <w:rFonts w:asciiTheme="majorHAnsi" w:hAnsiTheme="majorHAnsi" w:cs="Arial"/>
          <w:sz w:val="24"/>
          <w:szCs w:val="24"/>
        </w:rPr>
        <w:t xml:space="preserve">%) INTRA UE27. </w:t>
      </w:r>
    </w:p>
    <w:p w:rsidR="00DB406D" w:rsidRPr="00793447" w:rsidRDefault="00DB406D" w:rsidP="00DB406D">
      <w:pPr>
        <w:spacing w:after="0" w:line="240" w:lineRule="auto"/>
        <w:ind w:firstLine="567"/>
        <w:jc w:val="both"/>
        <w:rPr>
          <w:rFonts w:asciiTheme="majorHAnsi" w:hAnsiTheme="majorHAnsi" w:cs="Arial"/>
          <w:sz w:val="24"/>
          <w:szCs w:val="24"/>
        </w:rPr>
      </w:pPr>
      <w:r w:rsidRPr="00793447">
        <w:rPr>
          <w:rFonts w:asciiTheme="majorHAnsi" w:hAnsiTheme="majorHAnsi" w:cs="Arial"/>
          <w:sz w:val="24"/>
          <w:szCs w:val="24"/>
        </w:rPr>
        <w:t xml:space="preserve">Comparativ cu aceeaşi perioadă din anul precedent, </w:t>
      </w:r>
      <w:r w:rsidR="002B23C6" w:rsidRPr="00793447">
        <w:rPr>
          <w:rFonts w:asciiTheme="majorHAnsi" w:hAnsiTheme="majorHAnsi" w:cs="Arial"/>
          <w:sz w:val="24"/>
          <w:szCs w:val="24"/>
        </w:rPr>
        <w:t>importurile</w:t>
      </w:r>
      <w:r w:rsidRPr="00793447">
        <w:rPr>
          <w:rFonts w:asciiTheme="majorHAnsi" w:hAnsiTheme="majorHAnsi" w:cs="Arial"/>
          <w:sz w:val="24"/>
          <w:szCs w:val="24"/>
        </w:rPr>
        <w:t xml:space="preserve"> au crescut cu </w:t>
      </w:r>
      <w:r w:rsidR="008739FC" w:rsidRPr="00793447">
        <w:rPr>
          <w:rFonts w:asciiTheme="majorHAnsi" w:hAnsiTheme="majorHAnsi" w:cs="Arial"/>
          <w:sz w:val="24"/>
          <w:szCs w:val="24"/>
        </w:rPr>
        <w:t>2,8</w:t>
      </w:r>
      <w:r w:rsidRPr="00793447">
        <w:rPr>
          <w:rFonts w:asciiTheme="majorHAnsi" w:hAnsiTheme="majorHAnsi" w:cs="Arial"/>
          <w:sz w:val="24"/>
          <w:szCs w:val="24"/>
        </w:rPr>
        <w:t>%.</w:t>
      </w:r>
    </w:p>
    <w:p w:rsidR="00342F02" w:rsidRPr="00793447" w:rsidRDefault="00342F02" w:rsidP="00342F02">
      <w:pPr>
        <w:spacing w:after="0" w:line="240" w:lineRule="auto"/>
        <w:ind w:firstLine="567"/>
        <w:jc w:val="both"/>
        <w:rPr>
          <w:rFonts w:asciiTheme="majorHAnsi" w:hAnsiTheme="majorHAnsi" w:cs="Arial"/>
          <w:sz w:val="24"/>
          <w:szCs w:val="24"/>
        </w:rPr>
      </w:pPr>
      <w:r w:rsidRPr="00793447">
        <w:rPr>
          <w:rFonts w:asciiTheme="majorHAnsi" w:hAnsiTheme="majorHAnsi" w:cs="Arial"/>
          <w:sz w:val="24"/>
          <w:szCs w:val="24"/>
        </w:rPr>
        <w:t xml:space="preserve">Deficitul comercial FOB-CIF în </w:t>
      </w:r>
      <w:r w:rsidR="00D72A00" w:rsidRPr="00793447">
        <w:rPr>
          <w:rFonts w:asciiTheme="majorHAnsi" w:hAnsiTheme="majorHAnsi" w:cs="Arial"/>
          <w:sz w:val="24"/>
          <w:szCs w:val="24"/>
        </w:rPr>
        <w:t>semestrul I 2023</w:t>
      </w:r>
      <w:r w:rsidRPr="00793447">
        <w:rPr>
          <w:rFonts w:asciiTheme="majorHAnsi" w:hAnsiTheme="majorHAnsi" w:cs="Arial"/>
          <w:sz w:val="24"/>
          <w:szCs w:val="24"/>
        </w:rPr>
        <w:t xml:space="preserve"> a fost de </w:t>
      </w:r>
      <w:r w:rsidR="008739FC" w:rsidRPr="00793447">
        <w:rPr>
          <w:rFonts w:asciiTheme="majorHAnsi" w:hAnsiTheme="majorHAnsi" w:cs="Arial"/>
          <w:sz w:val="24"/>
          <w:szCs w:val="24"/>
        </w:rPr>
        <w:t>655197</w:t>
      </w:r>
      <w:r w:rsidR="00E82310" w:rsidRPr="00793447">
        <w:rPr>
          <w:rFonts w:asciiTheme="majorHAnsi" w:hAnsiTheme="majorHAnsi" w:cs="Arial"/>
          <w:sz w:val="24"/>
          <w:szCs w:val="24"/>
        </w:rPr>
        <w:t xml:space="preserve"> </w:t>
      </w:r>
      <w:r w:rsidRPr="00793447">
        <w:rPr>
          <w:rFonts w:asciiTheme="majorHAnsi" w:hAnsiTheme="majorHAnsi" w:cs="Arial"/>
          <w:sz w:val="24"/>
          <w:szCs w:val="24"/>
        </w:rPr>
        <w:t>mi</w:t>
      </w:r>
      <w:r w:rsidR="00F021A3" w:rsidRPr="00793447">
        <w:rPr>
          <w:rFonts w:asciiTheme="majorHAnsi" w:hAnsiTheme="majorHAnsi" w:cs="Arial"/>
          <w:sz w:val="24"/>
          <w:szCs w:val="24"/>
        </w:rPr>
        <w:t>i</w:t>
      </w:r>
      <w:r w:rsidRPr="00793447">
        <w:rPr>
          <w:rFonts w:asciiTheme="majorHAnsi" w:hAnsiTheme="majorHAnsi" w:cs="Arial"/>
          <w:sz w:val="24"/>
          <w:szCs w:val="24"/>
        </w:rPr>
        <w:t xml:space="preserve"> euro, mai </w:t>
      </w:r>
      <w:r w:rsidR="00A64CB3" w:rsidRPr="00793447">
        <w:rPr>
          <w:rFonts w:asciiTheme="majorHAnsi" w:hAnsiTheme="majorHAnsi" w:cs="Arial"/>
          <w:sz w:val="24"/>
          <w:szCs w:val="24"/>
        </w:rPr>
        <w:t>mic</w:t>
      </w:r>
      <w:r w:rsidRPr="00793447">
        <w:rPr>
          <w:rFonts w:asciiTheme="majorHAnsi" w:hAnsiTheme="majorHAnsi" w:cs="Arial"/>
          <w:sz w:val="24"/>
          <w:szCs w:val="24"/>
        </w:rPr>
        <w:t xml:space="preserve"> cu </w:t>
      </w:r>
      <w:r w:rsidR="008739FC" w:rsidRPr="00793447">
        <w:rPr>
          <w:rFonts w:asciiTheme="majorHAnsi" w:hAnsiTheme="majorHAnsi" w:cs="Arial"/>
          <w:sz w:val="24"/>
          <w:szCs w:val="24"/>
        </w:rPr>
        <w:t>37921</w:t>
      </w:r>
      <w:r w:rsidR="00F021A3" w:rsidRPr="00793447">
        <w:rPr>
          <w:rFonts w:asciiTheme="majorHAnsi" w:hAnsiTheme="majorHAnsi" w:cs="Arial"/>
          <w:sz w:val="24"/>
          <w:szCs w:val="24"/>
        </w:rPr>
        <w:t xml:space="preserve"> mii </w:t>
      </w:r>
      <w:r w:rsidRPr="00793447">
        <w:rPr>
          <w:rFonts w:asciiTheme="majorHAnsi" w:hAnsiTheme="majorHAnsi" w:cs="Arial"/>
          <w:sz w:val="24"/>
          <w:szCs w:val="24"/>
        </w:rPr>
        <w:t>euro</w:t>
      </w:r>
      <w:r w:rsidR="006A64AB" w:rsidRPr="00793447">
        <w:rPr>
          <w:rFonts w:asciiTheme="majorHAnsi" w:hAnsiTheme="majorHAnsi" w:cs="Arial"/>
          <w:sz w:val="24"/>
          <w:szCs w:val="24"/>
        </w:rPr>
        <w:t xml:space="preserve"> (</w:t>
      </w:r>
      <w:r w:rsidR="00A64CB3" w:rsidRPr="00793447">
        <w:rPr>
          <w:rFonts w:asciiTheme="majorHAnsi" w:hAnsiTheme="majorHAnsi" w:cs="Arial"/>
          <w:sz w:val="24"/>
          <w:szCs w:val="24"/>
        </w:rPr>
        <w:t>-</w:t>
      </w:r>
      <w:r w:rsidR="008739FC" w:rsidRPr="00793447">
        <w:rPr>
          <w:rFonts w:asciiTheme="majorHAnsi" w:hAnsiTheme="majorHAnsi" w:cs="Arial"/>
          <w:sz w:val="24"/>
          <w:szCs w:val="24"/>
        </w:rPr>
        <w:t>5</w:t>
      </w:r>
      <w:r w:rsidR="00CF3A07" w:rsidRPr="00793447">
        <w:rPr>
          <w:rFonts w:asciiTheme="majorHAnsi" w:hAnsiTheme="majorHAnsi" w:cs="Arial"/>
          <w:sz w:val="24"/>
          <w:szCs w:val="24"/>
        </w:rPr>
        <w:t>,</w:t>
      </w:r>
      <w:r w:rsidR="00A64CB3" w:rsidRPr="00793447">
        <w:rPr>
          <w:rFonts w:asciiTheme="majorHAnsi" w:hAnsiTheme="majorHAnsi" w:cs="Arial"/>
          <w:sz w:val="24"/>
          <w:szCs w:val="24"/>
        </w:rPr>
        <w:t>5</w:t>
      </w:r>
      <w:r w:rsidR="006A64AB" w:rsidRPr="00793447">
        <w:rPr>
          <w:rFonts w:asciiTheme="majorHAnsi" w:hAnsiTheme="majorHAnsi" w:cs="Arial"/>
          <w:sz w:val="24"/>
          <w:szCs w:val="24"/>
        </w:rPr>
        <w:t xml:space="preserve">%) </w:t>
      </w:r>
      <w:r w:rsidRPr="00793447">
        <w:rPr>
          <w:rFonts w:asciiTheme="majorHAnsi" w:hAnsiTheme="majorHAnsi" w:cs="Arial"/>
          <w:sz w:val="24"/>
          <w:szCs w:val="24"/>
        </w:rPr>
        <w:t xml:space="preserve"> faţă de </w:t>
      </w:r>
      <w:r w:rsidR="008739FC" w:rsidRPr="00793447">
        <w:rPr>
          <w:rFonts w:asciiTheme="majorHAnsi" w:hAnsiTheme="majorHAnsi" w:cs="Arial"/>
          <w:sz w:val="24"/>
          <w:szCs w:val="24"/>
        </w:rPr>
        <w:t>semestrul I 2022</w:t>
      </w:r>
      <w:r w:rsidRPr="00793447">
        <w:rPr>
          <w:rFonts w:asciiTheme="majorHAnsi" w:hAnsiTheme="majorHAnsi" w:cs="Arial"/>
          <w:sz w:val="24"/>
          <w:szCs w:val="24"/>
        </w:rPr>
        <w:t>.</w:t>
      </w:r>
    </w:p>
    <w:p w:rsidR="004A6F43" w:rsidRPr="00793447" w:rsidRDefault="004A6F43" w:rsidP="004A6F43">
      <w:pPr>
        <w:tabs>
          <w:tab w:val="left" w:pos="2880"/>
        </w:tabs>
        <w:spacing w:after="0" w:line="240" w:lineRule="auto"/>
        <w:jc w:val="center"/>
        <w:rPr>
          <w:rFonts w:asciiTheme="majorHAnsi" w:hAnsiTheme="majorHAnsi" w:cs="Arial"/>
          <w:b/>
          <w:sz w:val="24"/>
          <w:szCs w:val="24"/>
        </w:rPr>
      </w:pPr>
    </w:p>
    <w:p w:rsidR="00BA340F" w:rsidRPr="00793447" w:rsidRDefault="00081C0F" w:rsidP="004A6F43">
      <w:pPr>
        <w:tabs>
          <w:tab w:val="left" w:pos="2880"/>
        </w:tabs>
        <w:spacing w:after="0" w:line="240" w:lineRule="auto"/>
        <w:jc w:val="center"/>
        <w:rPr>
          <w:rFonts w:asciiTheme="majorHAnsi" w:hAnsiTheme="majorHAnsi" w:cs="Arial"/>
          <w:b/>
          <w:sz w:val="24"/>
          <w:szCs w:val="24"/>
        </w:rPr>
      </w:pPr>
      <w:r w:rsidRPr="00793447">
        <w:rPr>
          <w:rFonts w:asciiTheme="majorHAnsi" w:hAnsiTheme="majorHAnsi" w:cs="Arial"/>
          <w:b/>
          <w:sz w:val="24"/>
          <w:szCs w:val="24"/>
        </w:rPr>
        <w:t xml:space="preserve">Comerţul internaţional cu bunuri în </w:t>
      </w:r>
      <w:r w:rsidR="00D72A00" w:rsidRPr="00793447">
        <w:rPr>
          <w:rFonts w:asciiTheme="majorHAnsi" w:hAnsiTheme="majorHAnsi" w:cs="Arial"/>
          <w:b/>
          <w:sz w:val="24"/>
          <w:szCs w:val="24"/>
        </w:rPr>
        <w:t>semestrul I 2023</w:t>
      </w:r>
    </w:p>
    <w:p w:rsidR="004A6F43" w:rsidRPr="00793447" w:rsidRDefault="004A6F43" w:rsidP="004A6F43">
      <w:pPr>
        <w:tabs>
          <w:tab w:val="left" w:pos="2880"/>
        </w:tabs>
        <w:spacing w:after="0" w:line="240" w:lineRule="auto"/>
        <w:jc w:val="center"/>
        <w:rPr>
          <w:rFonts w:asciiTheme="majorHAnsi" w:hAnsiTheme="majorHAnsi" w:cs="Arial"/>
          <w:b/>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280"/>
        <w:gridCol w:w="1272"/>
        <w:gridCol w:w="1240"/>
        <w:gridCol w:w="1453"/>
      </w:tblGrid>
      <w:tr w:rsidR="004A6F43" w:rsidRPr="00793447" w:rsidTr="004E2A70">
        <w:trPr>
          <w:trHeight w:val="300"/>
          <w:tblHeader/>
        </w:trPr>
        <w:tc>
          <w:tcPr>
            <w:tcW w:w="4536" w:type="dxa"/>
            <w:vMerge w:val="restart"/>
            <w:shd w:val="clear" w:color="auto" w:fill="auto"/>
            <w:noWrap/>
            <w:vAlign w:val="center"/>
            <w:hideMark/>
          </w:tcPr>
          <w:p w:rsidR="004A6F43" w:rsidRPr="00793447" w:rsidRDefault="004A6F43" w:rsidP="004A6F43">
            <w:pPr>
              <w:spacing w:after="0" w:line="240" w:lineRule="auto"/>
              <w:rPr>
                <w:rFonts w:asciiTheme="majorHAnsi" w:hAnsiTheme="majorHAnsi" w:cs="Calibri"/>
                <w:b/>
                <w:bCs/>
                <w:color w:val="000000"/>
                <w:sz w:val="24"/>
                <w:szCs w:val="24"/>
              </w:rPr>
            </w:pPr>
            <w:r w:rsidRPr="00793447">
              <w:rPr>
                <w:rFonts w:asciiTheme="majorHAnsi" w:hAnsiTheme="majorHAnsi" w:cs="Calibri"/>
                <w:b/>
                <w:bCs/>
                <w:color w:val="000000"/>
                <w:sz w:val="24"/>
                <w:szCs w:val="24"/>
              </w:rPr>
              <w:t>Secţiuni ale Nomenclatorului Combinat</w:t>
            </w:r>
          </w:p>
        </w:tc>
        <w:tc>
          <w:tcPr>
            <w:tcW w:w="1280" w:type="dxa"/>
            <w:tcBorders>
              <w:bottom w:val="nil"/>
            </w:tcBorders>
            <w:shd w:val="clear" w:color="auto" w:fill="auto"/>
            <w:noWrap/>
            <w:vAlign w:val="center"/>
            <w:hideMark/>
          </w:tcPr>
          <w:p w:rsidR="004A6F43" w:rsidRPr="00793447" w:rsidRDefault="004A6F43" w:rsidP="004A6F43">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Export (FOB)</w:t>
            </w:r>
          </w:p>
        </w:tc>
        <w:tc>
          <w:tcPr>
            <w:tcW w:w="1272" w:type="dxa"/>
            <w:vMerge w:val="restart"/>
            <w:shd w:val="clear" w:color="auto" w:fill="auto"/>
            <w:noWrap/>
            <w:vAlign w:val="center"/>
            <w:hideMark/>
          </w:tcPr>
          <w:p w:rsidR="004A6F43" w:rsidRPr="00793447" w:rsidRDefault="004A6F43" w:rsidP="004A6F43">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Pondere în total export (%)</w:t>
            </w:r>
          </w:p>
        </w:tc>
        <w:tc>
          <w:tcPr>
            <w:tcW w:w="1240" w:type="dxa"/>
            <w:tcBorders>
              <w:bottom w:val="nil"/>
            </w:tcBorders>
            <w:shd w:val="clear" w:color="auto" w:fill="auto"/>
            <w:noWrap/>
            <w:vAlign w:val="center"/>
            <w:hideMark/>
          </w:tcPr>
          <w:p w:rsidR="004A6F43" w:rsidRPr="00793447" w:rsidRDefault="004A6F43" w:rsidP="004A6F43">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Import (CIF)</w:t>
            </w:r>
          </w:p>
        </w:tc>
        <w:tc>
          <w:tcPr>
            <w:tcW w:w="1453" w:type="dxa"/>
            <w:vMerge w:val="restart"/>
            <w:shd w:val="clear" w:color="auto" w:fill="auto"/>
            <w:noWrap/>
            <w:vAlign w:val="center"/>
            <w:hideMark/>
          </w:tcPr>
          <w:p w:rsidR="004A6F43" w:rsidRPr="00793447" w:rsidRDefault="004A6F43" w:rsidP="004A6F43">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Pondere în total import (%)</w:t>
            </w:r>
          </w:p>
        </w:tc>
      </w:tr>
      <w:tr w:rsidR="004A6F43" w:rsidRPr="00793447" w:rsidTr="004E2A70">
        <w:trPr>
          <w:trHeight w:val="315"/>
          <w:tblHeader/>
        </w:trPr>
        <w:tc>
          <w:tcPr>
            <w:tcW w:w="4536" w:type="dxa"/>
            <w:vMerge/>
            <w:vAlign w:val="center"/>
            <w:hideMark/>
          </w:tcPr>
          <w:p w:rsidR="004A6F43" w:rsidRPr="00793447" w:rsidRDefault="004A6F43" w:rsidP="004A6F43">
            <w:pPr>
              <w:spacing w:after="0" w:line="240" w:lineRule="auto"/>
              <w:rPr>
                <w:rFonts w:asciiTheme="majorHAnsi" w:hAnsiTheme="majorHAnsi" w:cs="Calibri"/>
                <w:b/>
                <w:bCs/>
                <w:color w:val="000000"/>
                <w:sz w:val="24"/>
                <w:szCs w:val="24"/>
              </w:rPr>
            </w:pPr>
          </w:p>
        </w:tc>
        <w:tc>
          <w:tcPr>
            <w:tcW w:w="1280" w:type="dxa"/>
            <w:tcBorders>
              <w:top w:val="nil"/>
            </w:tcBorders>
            <w:shd w:val="clear" w:color="auto" w:fill="auto"/>
            <w:noWrap/>
            <w:vAlign w:val="center"/>
            <w:hideMark/>
          </w:tcPr>
          <w:p w:rsidR="004A6F43" w:rsidRPr="00793447" w:rsidRDefault="004A6F43" w:rsidP="004A6F43">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mii euro</w:t>
            </w:r>
          </w:p>
        </w:tc>
        <w:tc>
          <w:tcPr>
            <w:tcW w:w="1272" w:type="dxa"/>
            <w:vMerge/>
            <w:vAlign w:val="center"/>
            <w:hideMark/>
          </w:tcPr>
          <w:p w:rsidR="004A6F43" w:rsidRPr="00793447" w:rsidRDefault="004A6F43" w:rsidP="004A6F43">
            <w:pPr>
              <w:spacing w:after="0" w:line="240" w:lineRule="auto"/>
              <w:rPr>
                <w:rFonts w:asciiTheme="majorHAnsi" w:hAnsiTheme="majorHAnsi" w:cs="Calibri"/>
                <w:b/>
                <w:bCs/>
                <w:color w:val="000000"/>
                <w:sz w:val="24"/>
                <w:szCs w:val="24"/>
              </w:rPr>
            </w:pPr>
          </w:p>
        </w:tc>
        <w:tc>
          <w:tcPr>
            <w:tcW w:w="1240" w:type="dxa"/>
            <w:tcBorders>
              <w:top w:val="nil"/>
            </w:tcBorders>
            <w:shd w:val="clear" w:color="auto" w:fill="auto"/>
            <w:noWrap/>
            <w:vAlign w:val="center"/>
            <w:hideMark/>
          </w:tcPr>
          <w:p w:rsidR="004A6F43" w:rsidRPr="00793447" w:rsidRDefault="004A6F43" w:rsidP="004A6F43">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mii euro</w:t>
            </w:r>
          </w:p>
        </w:tc>
        <w:tc>
          <w:tcPr>
            <w:tcW w:w="1453" w:type="dxa"/>
            <w:vMerge/>
            <w:vAlign w:val="center"/>
            <w:hideMark/>
          </w:tcPr>
          <w:p w:rsidR="004A6F43" w:rsidRPr="00793447" w:rsidRDefault="004A6F43" w:rsidP="004A6F43">
            <w:pPr>
              <w:spacing w:after="0" w:line="240" w:lineRule="auto"/>
              <w:rPr>
                <w:rFonts w:asciiTheme="majorHAnsi" w:hAnsiTheme="majorHAnsi" w:cs="Calibri"/>
                <w:b/>
                <w:bCs/>
                <w:color w:val="000000"/>
                <w:sz w:val="24"/>
                <w:szCs w:val="24"/>
              </w:rPr>
            </w:pP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b/>
                <w:bCs/>
                <w:color w:val="000000"/>
                <w:sz w:val="24"/>
                <w:szCs w:val="24"/>
              </w:rPr>
            </w:pPr>
            <w:r w:rsidRPr="00793447">
              <w:rPr>
                <w:rFonts w:asciiTheme="majorHAnsi" w:hAnsiTheme="majorHAnsi" w:cs="Calibri"/>
                <w:b/>
                <w:bCs/>
                <w:color w:val="000000"/>
                <w:sz w:val="24"/>
                <w:szCs w:val="24"/>
                <w:lang w:val="en-GB"/>
              </w:rPr>
              <w:t>TOTAL</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line="240" w:lineRule="auto"/>
              <w:jc w:val="right"/>
              <w:rPr>
                <w:rFonts w:asciiTheme="majorHAnsi" w:hAnsiTheme="majorHAnsi"/>
                <w:b/>
                <w:bCs/>
                <w:color w:val="000000"/>
                <w:sz w:val="24"/>
                <w:szCs w:val="24"/>
              </w:rPr>
            </w:pPr>
            <w:r w:rsidRPr="00793447">
              <w:rPr>
                <w:rFonts w:asciiTheme="majorHAnsi" w:hAnsiTheme="majorHAnsi"/>
                <w:b/>
                <w:bCs/>
                <w:color w:val="000000"/>
                <w:sz w:val="24"/>
                <w:szCs w:val="24"/>
              </w:rPr>
              <w:t>1497742</w:t>
            </w:r>
          </w:p>
        </w:tc>
        <w:tc>
          <w:tcPr>
            <w:tcW w:w="1272" w:type="dxa"/>
            <w:tcBorders>
              <w:top w:val="single" w:sz="4" w:space="0" w:color="auto"/>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
                <w:bCs/>
                <w:sz w:val="24"/>
                <w:szCs w:val="24"/>
              </w:rPr>
            </w:pPr>
            <w:r w:rsidRPr="00793447">
              <w:rPr>
                <w:rFonts w:asciiTheme="majorHAnsi" w:hAnsiTheme="majorHAnsi"/>
                <w:b/>
                <w:bCs/>
                <w:sz w:val="24"/>
                <w:szCs w:val="24"/>
              </w:rPr>
              <w:t>100,0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
                <w:bCs/>
                <w:color w:val="000000"/>
                <w:sz w:val="24"/>
                <w:szCs w:val="24"/>
              </w:rPr>
            </w:pPr>
            <w:r w:rsidRPr="00793447">
              <w:rPr>
                <w:rFonts w:asciiTheme="majorHAnsi" w:hAnsiTheme="majorHAnsi"/>
                <w:b/>
                <w:bCs/>
                <w:color w:val="000000"/>
                <w:sz w:val="24"/>
                <w:szCs w:val="24"/>
              </w:rPr>
              <w:t>2152939</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
                <w:bCs/>
                <w:sz w:val="24"/>
                <w:szCs w:val="24"/>
              </w:rPr>
            </w:pPr>
            <w:r w:rsidRPr="00793447">
              <w:rPr>
                <w:rFonts w:asciiTheme="majorHAnsi" w:hAnsiTheme="majorHAnsi"/>
                <w:b/>
                <w:bCs/>
                <w:sz w:val="24"/>
                <w:szCs w:val="24"/>
              </w:rPr>
              <w:t>100,0</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Animale vii și produse animale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12875</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0,9</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233853</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10,9</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Produse vegetale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2886</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0,2</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221265</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10,3</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Grăsimi și uleiuri animale sau vegetele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491</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25977</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1,2</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Produse alimentare, băuturi și tutun</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269837</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18,0</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438083</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20,3</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Produse minerale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24162</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1,6</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28290</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1,3</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Produse chimice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187188</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12,5</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84344</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3,9</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Materiale plastice, cauciuc și articole din acestea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58327</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3,9</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156244</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7,2</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Piei crude, piei tăbăcite, blănuri și produse din acestea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363</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2448</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0,1</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Produse din lemn, exclusiv mobilier</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7997</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0,5</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5823</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0,3</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Hârtie și articole din acestea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27556</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1,8</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63708</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2,9</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Textile și articole din textile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57859</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3,9</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72817</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3,4</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Încălțăminte, pălării, umbrele și articole similare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667</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3715</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0,2</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Articole din piatră, ipsos, ciment, ceramică, sticlă și din alte materiale similare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12160</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0,8</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17430</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0,8</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Metale comune și articole din acestea</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63905</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4,3</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224504</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10,5</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Mașini, aparate și echipamente electrice; aparate de înregistrat sau de reprodus sunetul și imaginile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619499</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41,4</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422230</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19,6</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Mijloace si materiale de transport</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35433</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2,4</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42300</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2,0</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Instrumente si aparate optice, fotografice, cinematografice, medico-chirurgicale; ceasuri; instrumente muzicale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89016</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5,9</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80944</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3,8</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Marfuri si produse diverse</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26919</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1,8</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28194</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1,3</w:t>
            </w:r>
          </w:p>
        </w:tc>
      </w:tr>
      <w:tr w:rsidR="008739FC" w:rsidRPr="00793447" w:rsidTr="004E2A70">
        <w:trPr>
          <w:trHeight w:val="315"/>
        </w:trPr>
        <w:tc>
          <w:tcPr>
            <w:tcW w:w="4536" w:type="dxa"/>
            <w:shd w:val="clear" w:color="auto" w:fill="auto"/>
            <w:noWrap/>
            <w:vAlign w:val="center"/>
            <w:hideMark/>
          </w:tcPr>
          <w:p w:rsidR="008739FC" w:rsidRPr="00793447" w:rsidRDefault="008739FC" w:rsidP="008739FC">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lang w:val="en-GB"/>
              </w:rPr>
              <w:t>Bunuri necuprinse in alte sectiuni din Nomenclatorul Combinat</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602</w:t>
            </w:r>
          </w:p>
        </w:tc>
        <w:tc>
          <w:tcPr>
            <w:tcW w:w="1272"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bCs/>
                <w:sz w:val="24"/>
                <w:szCs w:val="24"/>
              </w:rPr>
            </w:pPr>
            <w:r w:rsidRPr="00793447">
              <w:rPr>
                <w:rFonts w:asciiTheme="majorHAnsi" w:hAnsiTheme="majorHAnsi"/>
                <w:bCs/>
                <w:sz w:val="24"/>
                <w:szCs w:val="24"/>
              </w:rPr>
              <w:t>*</w:t>
            </w:r>
          </w:p>
        </w:tc>
        <w:tc>
          <w:tcPr>
            <w:tcW w:w="1240"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color w:val="000000"/>
                <w:sz w:val="24"/>
                <w:szCs w:val="24"/>
              </w:rPr>
            </w:pPr>
            <w:r w:rsidRPr="00793447">
              <w:rPr>
                <w:rFonts w:asciiTheme="majorHAnsi" w:hAnsiTheme="majorHAnsi"/>
                <w:color w:val="000000"/>
                <w:sz w:val="24"/>
                <w:szCs w:val="24"/>
              </w:rPr>
              <w:t>773</w:t>
            </w:r>
          </w:p>
        </w:tc>
        <w:tc>
          <w:tcPr>
            <w:tcW w:w="1453" w:type="dxa"/>
            <w:tcBorders>
              <w:top w:val="nil"/>
              <w:left w:val="nil"/>
              <w:bottom w:val="single" w:sz="4" w:space="0" w:color="auto"/>
              <w:right w:val="single" w:sz="4" w:space="0" w:color="auto"/>
            </w:tcBorders>
            <w:shd w:val="clear" w:color="auto" w:fill="auto"/>
            <w:noWrap/>
            <w:vAlign w:val="bottom"/>
            <w:hideMark/>
          </w:tcPr>
          <w:p w:rsidR="008739FC" w:rsidRPr="00793447" w:rsidRDefault="008739FC" w:rsidP="008739FC">
            <w:pPr>
              <w:spacing w:after="0"/>
              <w:jc w:val="right"/>
              <w:rPr>
                <w:rFonts w:asciiTheme="majorHAnsi" w:hAnsiTheme="majorHAnsi"/>
                <w:sz w:val="24"/>
                <w:szCs w:val="24"/>
              </w:rPr>
            </w:pPr>
            <w:r w:rsidRPr="00793447">
              <w:rPr>
                <w:rFonts w:asciiTheme="majorHAnsi" w:hAnsiTheme="majorHAnsi"/>
                <w:sz w:val="24"/>
                <w:szCs w:val="24"/>
              </w:rPr>
              <w:t>*</w:t>
            </w:r>
          </w:p>
        </w:tc>
      </w:tr>
    </w:tbl>
    <w:p w:rsidR="00BA340F" w:rsidRPr="00793447" w:rsidRDefault="00081C0F" w:rsidP="00BA340F">
      <w:pPr>
        <w:tabs>
          <w:tab w:val="left" w:pos="0"/>
        </w:tabs>
        <w:spacing w:after="0" w:line="240" w:lineRule="auto"/>
        <w:rPr>
          <w:rFonts w:asciiTheme="majorHAnsi" w:hAnsiTheme="majorHAnsi" w:cs="Arial"/>
          <w:i/>
          <w:sz w:val="24"/>
          <w:szCs w:val="24"/>
          <w:lang w:val="it-IT"/>
        </w:rPr>
      </w:pPr>
      <w:r w:rsidRPr="00793447">
        <w:rPr>
          <w:rFonts w:asciiTheme="majorHAnsi" w:hAnsiTheme="majorHAnsi" w:cs="Arial"/>
          <w:i/>
          <w:sz w:val="24"/>
          <w:szCs w:val="24"/>
        </w:rPr>
        <w:tab/>
      </w:r>
      <w:r w:rsidR="00BA340F" w:rsidRPr="00793447">
        <w:rPr>
          <w:rFonts w:asciiTheme="majorHAnsi" w:hAnsiTheme="majorHAnsi" w:cs="Arial"/>
          <w:i/>
          <w:sz w:val="24"/>
          <w:szCs w:val="24"/>
        </w:rPr>
        <w:t xml:space="preserve">Diferenţele între datele pe total judeţ şi datele obţinute din însumarea secţiunilor, sunt datorate rotunjirii valorilor din euro în mii euro. Datele </w:t>
      </w:r>
      <w:r w:rsidR="00BA340F" w:rsidRPr="00793447">
        <w:rPr>
          <w:rFonts w:asciiTheme="majorHAnsi" w:hAnsiTheme="majorHAnsi" w:cs="Arial"/>
          <w:i/>
          <w:sz w:val="24"/>
          <w:szCs w:val="24"/>
          <w:lang w:val="it-IT"/>
        </w:rPr>
        <w:t>sunt provizorii.</w:t>
      </w:r>
    </w:p>
    <w:p w:rsidR="007361E3" w:rsidRPr="00793447" w:rsidRDefault="007361E3" w:rsidP="00BA340F">
      <w:pPr>
        <w:spacing w:after="0" w:line="240" w:lineRule="auto"/>
        <w:ind w:firstLine="567"/>
        <w:rPr>
          <w:rFonts w:asciiTheme="majorHAnsi" w:hAnsiTheme="majorHAnsi" w:cs="Arial"/>
          <w:color w:val="FF0000"/>
          <w:sz w:val="24"/>
          <w:szCs w:val="24"/>
        </w:rPr>
      </w:pPr>
    </w:p>
    <w:p w:rsidR="00081C0F" w:rsidRPr="00793447" w:rsidRDefault="00081C0F" w:rsidP="00081C0F">
      <w:pPr>
        <w:tabs>
          <w:tab w:val="left" w:pos="960"/>
        </w:tabs>
        <w:spacing w:after="0" w:line="240" w:lineRule="auto"/>
        <w:ind w:firstLine="567"/>
        <w:jc w:val="both"/>
        <w:rPr>
          <w:rFonts w:asciiTheme="majorHAnsi" w:hAnsiTheme="majorHAnsi" w:cs="Arial"/>
          <w:sz w:val="24"/>
          <w:szCs w:val="24"/>
          <w:lang w:val="it-IT"/>
        </w:rPr>
      </w:pPr>
      <w:r w:rsidRPr="00793447">
        <w:rPr>
          <w:rFonts w:asciiTheme="majorHAnsi" w:hAnsiTheme="majorHAnsi" w:cs="Arial"/>
          <w:sz w:val="24"/>
          <w:szCs w:val="24"/>
          <w:lang w:val="it-IT"/>
        </w:rPr>
        <w:t xml:space="preserve">În </w:t>
      </w:r>
      <w:r w:rsidR="00D72A00" w:rsidRPr="00793447">
        <w:rPr>
          <w:rFonts w:asciiTheme="majorHAnsi" w:hAnsiTheme="majorHAnsi" w:cs="Arial"/>
          <w:sz w:val="24"/>
          <w:szCs w:val="24"/>
        </w:rPr>
        <w:t>semestrul I 2023</w:t>
      </w:r>
      <w:r w:rsidRPr="00793447">
        <w:rPr>
          <w:rFonts w:asciiTheme="majorHAnsi" w:hAnsiTheme="majorHAnsi" w:cs="Arial"/>
          <w:sz w:val="24"/>
          <w:szCs w:val="24"/>
          <w:lang w:val="it-IT"/>
        </w:rPr>
        <w:t>, ponderi importante în structura exporturilor şi importurilor sunt deţinute de maşini, aparate şi echipamente electrice; aparate de înregistrat sau de reprodus sunetul şi imaginile</w:t>
      </w:r>
      <w:r w:rsidR="002F0BE7" w:rsidRPr="00793447">
        <w:rPr>
          <w:rFonts w:asciiTheme="majorHAnsi" w:hAnsiTheme="majorHAnsi" w:cs="Arial"/>
          <w:sz w:val="24"/>
          <w:szCs w:val="24"/>
          <w:lang w:val="it-IT"/>
        </w:rPr>
        <w:t xml:space="preserve"> </w:t>
      </w:r>
      <w:r w:rsidRPr="00793447">
        <w:rPr>
          <w:rFonts w:asciiTheme="majorHAnsi" w:hAnsiTheme="majorHAnsi" w:cs="Arial"/>
          <w:sz w:val="24"/>
          <w:szCs w:val="24"/>
          <w:lang w:val="it-IT"/>
        </w:rPr>
        <w:t>(</w:t>
      </w:r>
      <w:r w:rsidR="008739FC" w:rsidRPr="00793447">
        <w:rPr>
          <w:rFonts w:asciiTheme="majorHAnsi" w:hAnsiTheme="majorHAnsi" w:cs="Arial"/>
          <w:sz w:val="24"/>
          <w:szCs w:val="24"/>
          <w:lang w:val="it-IT"/>
        </w:rPr>
        <w:t>41,4</w:t>
      </w:r>
      <w:r w:rsidRPr="00793447">
        <w:rPr>
          <w:rFonts w:asciiTheme="majorHAnsi" w:hAnsiTheme="majorHAnsi" w:cs="Arial"/>
          <w:sz w:val="24"/>
          <w:szCs w:val="24"/>
          <w:lang w:val="it-IT"/>
        </w:rPr>
        <w:t>% la export şi 19,</w:t>
      </w:r>
      <w:r w:rsidR="008739FC" w:rsidRPr="00793447">
        <w:rPr>
          <w:rFonts w:asciiTheme="majorHAnsi" w:hAnsiTheme="majorHAnsi" w:cs="Arial"/>
          <w:sz w:val="24"/>
          <w:szCs w:val="24"/>
          <w:lang w:val="it-IT"/>
        </w:rPr>
        <w:t>6</w:t>
      </w:r>
      <w:r w:rsidRPr="00793447">
        <w:rPr>
          <w:rFonts w:asciiTheme="majorHAnsi" w:hAnsiTheme="majorHAnsi" w:cs="Arial"/>
          <w:sz w:val="24"/>
          <w:szCs w:val="24"/>
          <w:lang w:val="it-IT"/>
        </w:rPr>
        <w:t>% la import), produse alimentare, băuturi, tutun (</w:t>
      </w:r>
      <w:r w:rsidR="004A6F43" w:rsidRPr="00793447">
        <w:rPr>
          <w:rFonts w:asciiTheme="majorHAnsi" w:hAnsiTheme="majorHAnsi" w:cs="Arial"/>
          <w:sz w:val="24"/>
          <w:szCs w:val="24"/>
          <w:lang w:val="it-IT"/>
        </w:rPr>
        <w:t>18,</w:t>
      </w:r>
      <w:r w:rsidR="008739FC" w:rsidRPr="00793447">
        <w:rPr>
          <w:rFonts w:asciiTheme="majorHAnsi" w:hAnsiTheme="majorHAnsi" w:cs="Arial"/>
          <w:sz w:val="24"/>
          <w:szCs w:val="24"/>
          <w:lang w:val="it-IT"/>
        </w:rPr>
        <w:t>0</w:t>
      </w:r>
      <w:r w:rsidRPr="00793447">
        <w:rPr>
          <w:rFonts w:asciiTheme="majorHAnsi" w:hAnsiTheme="majorHAnsi" w:cs="Arial"/>
          <w:sz w:val="24"/>
          <w:szCs w:val="24"/>
          <w:lang w:val="it-IT"/>
        </w:rPr>
        <w:t xml:space="preserve">% la export şi </w:t>
      </w:r>
      <w:r w:rsidR="008739FC" w:rsidRPr="00793447">
        <w:rPr>
          <w:rFonts w:asciiTheme="majorHAnsi" w:hAnsiTheme="majorHAnsi" w:cs="Arial"/>
          <w:sz w:val="24"/>
          <w:szCs w:val="24"/>
          <w:lang w:val="it-IT"/>
        </w:rPr>
        <w:t>20,3</w:t>
      </w:r>
      <w:r w:rsidRPr="00793447">
        <w:rPr>
          <w:rFonts w:asciiTheme="majorHAnsi" w:hAnsiTheme="majorHAnsi" w:cs="Arial"/>
          <w:sz w:val="24"/>
          <w:szCs w:val="24"/>
          <w:lang w:val="it-IT"/>
        </w:rPr>
        <w:t>% la import) şi produse ale industriei chimice (</w:t>
      </w:r>
      <w:r w:rsidR="004A6F43" w:rsidRPr="00793447">
        <w:rPr>
          <w:rFonts w:asciiTheme="majorHAnsi" w:hAnsiTheme="majorHAnsi" w:cs="Arial"/>
          <w:sz w:val="24"/>
          <w:szCs w:val="24"/>
          <w:lang w:val="it-IT"/>
        </w:rPr>
        <w:t>12,5</w:t>
      </w:r>
      <w:r w:rsidRPr="00793447">
        <w:rPr>
          <w:rFonts w:asciiTheme="majorHAnsi" w:hAnsiTheme="majorHAnsi" w:cs="Arial"/>
          <w:sz w:val="24"/>
          <w:szCs w:val="24"/>
          <w:lang w:val="it-IT"/>
        </w:rPr>
        <w:t xml:space="preserve">% la export şi respectiv </w:t>
      </w:r>
      <w:r w:rsidR="008739FC" w:rsidRPr="00793447">
        <w:rPr>
          <w:rFonts w:asciiTheme="majorHAnsi" w:hAnsiTheme="majorHAnsi" w:cs="Arial"/>
          <w:sz w:val="24"/>
          <w:szCs w:val="24"/>
          <w:lang w:val="it-IT"/>
        </w:rPr>
        <w:t>3,9</w:t>
      </w:r>
      <w:r w:rsidRPr="00793447">
        <w:rPr>
          <w:rFonts w:asciiTheme="majorHAnsi" w:hAnsiTheme="majorHAnsi" w:cs="Arial"/>
          <w:sz w:val="24"/>
          <w:szCs w:val="24"/>
          <w:lang w:val="it-IT"/>
        </w:rPr>
        <w:t>% la import).</w:t>
      </w:r>
    </w:p>
    <w:p w:rsidR="00DB1FC8" w:rsidRPr="00793447" w:rsidRDefault="00DB1FC8" w:rsidP="00BA340F">
      <w:pPr>
        <w:tabs>
          <w:tab w:val="left" w:pos="960"/>
        </w:tabs>
        <w:spacing w:after="0" w:line="240" w:lineRule="auto"/>
        <w:ind w:firstLine="567"/>
        <w:jc w:val="both"/>
        <w:rPr>
          <w:rFonts w:asciiTheme="majorHAnsi" w:hAnsiTheme="majorHAnsi" w:cs="Arial"/>
          <w:color w:val="FF0000"/>
          <w:sz w:val="24"/>
          <w:szCs w:val="24"/>
          <w:lang w:val="it-IT"/>
        </w:rPr>
      </w:pPr>
    </w:p>
    <w:p w:rsidR="00851B0B" w:rsidRPr="00793447" w:rsidRDefault="00851B0B" w:rsidP="004E2A70">
      <w:pPr>
        <w:spacing w:line="240" w:lineRule="auto"/>
        <w:jc w:val="center"/>
        <w:rPr>
          <w:rFonts w:asciiTheme="majorHAnsi" w:hAnsiTheme="majorHAnsi" w:cs="Arial"/>
          <w:b/>
          <w:color w:val="000000" w:themeColor="text1"/>
          <w:sz w:val="24"/>
          <w:szCs w:val="24"/>
          <w:lang w:val="pt-BR"/>
        </w:rPr>
      </w:pPr>
      <w:r w:rsidRPr="00793447">
        <w:rPr>
          <w:rFonts w:asciiTheme="majorHAnsi" w:hAnsiTheme="majorHAnsi" w:cs="Arial"/>
          <w:b/>
          <w:color w:val="000000" w:themeColor="text1"/>
          <w:sz w:val="24"/>
          <w:szCs w:val="24"/>
          <w:lang w:val="pt-BR"/>
        </w:rPr>
        <w:t>EVOLUŢIA EXPORTURILOR ŞI IMPORTURILOR DE MĂRFURI ÎN JUDEŢUL PRAHOVA</w:t>
      </w:r>
    </w:p>
    <w:p w:rsidR="00851B0B" w:rsidRPr="00793447" w:rsidRDefault="00851B0B" w:rsidP="004E2A70">
      <w:pPr>
        <w:spacing w:line="240" w:lineRule="auto"/>
        <w:jc w:val="center"/>
        <w:rPr>
          <w:rFonts w:asciiTheme="majorHAnsi" w:hAnsiTheme="majorHAnsi" w:cs="Arial"/>
          <w:b/>
          <w:color w:val="000000" w:themeColor="text1"/>
          <w:sz w:val="24"/>
          <w:szCs w:val="24"/>
          <w:lang w:val="pt-BR"/>
        </w:rPr>
      </w:pPr>
      <w:r w:rsidRPr="00793447">
        <w:rPr>
          <w:rFonts w:asciiTheme="majorHAnsi" w:hAnsiTheme="majorHAnsi" w:cs="Arial"/>
          <w:b/>
          <w:color w:val="000000" w:themeColor="text1"/>
          <w:sz w:val="24"/>
          <w:szCs w:val="24"/>
          <w:lang w:val="pt-BR"/>
        </w:rPr>
        <w:t xml:space="preserve">ÎN PERIOADA </w:t>
      </w:r>
      <w:r w:rsidR="008739FC" w:rsidRPr="00793447">
        <w:rPr>
          <w:rFonts w:asciiTheme="majorHAnsi" w:hAnsiTheme="majorHAnsi" w:cs="Arial"/>
          <w:b/>
          <w:color w:val="000000" w:themeColor="text1"/>
          <w:sz w:val="24"/>
          <w:szCs w:val="24"/>
          <w:lang w:val="pt-BR"/>
        </w:rPr>
        <w:t>IUNIE</w:t>
      </w:r>
      <w:r w:rsidRPr="00793447">
        <w:rPr>
          <w:rFonts w:asciiTheme="majorHAnsi" w:hAnsiTheme="majorHAnsi" w:cs="Arial"/>
          <w:b/>
          <w:color w:val="000000" w:themeColor="text1"/>
          <w:sz w:val="24"/>
          <w:szCs w:val="24"/>
          <w:lang w:val="pt-BR"/>
        </w:rPr>
        <w:t xml:space="preserve"> </w:t>
      </w:r>
      <w:r w:rsidR="00583A47" w:rsidRPr="00793447">
        <w:rPr>
          <w:rFonts w:asciiTheme="majorHAnsi" w:hAnsiTheme="majorHAnsi" w:cs="Arial"/>
          <w:b/>
          <w:color w:val="000000" w:themeColor="text1"/>
          <w:sz w:val="24"/>
          <w:szCs w:val="24"/>
          <w:lang w:val="pt-BR"/>
        </w:rPr>
        <w:t>2022</w:t>
      </w:r>
      <w:r w:rsidRPr="00793447">
        <w:rPr>
          <w:rFonts w:asciiTheme="majorHAnsi" w:hAnsiTheme="majorHAnsi" w:cs="Arial"/>
          <w:b/>
          <w:color w:val="000000" w:themeColor="text1"/>
          <w:sz w:val="24"/>
          <w:szCs w:val="24"/>
          <w:lang w:val="pt-BR"/>
        </w:rPr>
        <w:t xml:space="preserve"> – </w:t>
      </w:r>
      <w:r w:rsidR="008739FC" w:rsidRPr="00793447">
        <w:rPr>
          <w:rFonts w:asciiTheme="majorHAnsi" w:hAnsiTheme="majorHAnsi" w:cs="Arial"/>
          <w:b/>
          <w:color w:val="000000" w:themeColor="text1"/>
          <w:sz w:val="24"/>
          <w:szCs w:val="24"/>
          <w:lang w:val="pt-BR"/>
        </w:rPr>
        <w:t>IUNIE</w:t>
      </w:r>
      <w:r w:rsidRPr="00793447">
        <w:rPr>
          <w:rFonts w:asciiTheme="majorHAnsi" w:hAnsiTheme="majorHAnsi" w:cs="Arial"/>
          <w:b/>
          <w:color w:val="000000" w:themeColor="text1"/>
          <w:sz w:val="24"/>
          <w:szCs w:val="24"/>
          <w:lang w:val="pt-BR"/>
        </w:rPr>
        <w:t xml:space="preserve"> </w:t>
      </w:r>
      <w:r w:rsidR="00583A47" w:rsidRPr="00793447">
        <w:rPr>
          <w:rFonts w:asciiTheme="majorHAnsi" w:hAnsiTheme="majorHAnsi" w:cs="Arial"/>
          <w:b/>
          <w:color w:val="000000" w:themeColor="text1"/>
          <w:sz w:val="24"/>
          <w:szCs w:val="24"/>
          <w:lang w:val="pt-BR"/>
        </w:rPr>
        <w:t>2023</w:t>
      </w:r>
    </w:p>
    <w:p w:rsidR="007A5AA0" w:rsidRPr="00793447" w:rsidRDefault="00894573" w:rsidP="007A5AA0">
      <w:pPr>
        <w:jc w:val="center"/>
        <w:rPr>
          <w:rFonts w:asciiTheme="majorHAnsi" w:hAnsiTheme="majorHAnsi" w:cs="Arial"/>
          <w:b/>
          <w:bCs/>
          <w:color w:val="FF0000"/>
          <w:sz w:val="24"/>
          <w:szCs w:val="24"/>
          <w:lang w:val="ro-RO"/>
        </w:rPr>
      </w:pPr>
      <w:r w:rsidRPr="00793447">
        <w:rPr>
          <w:rFonts w:asciiTheme="majorHAnsi" w:hAnsiTheme="majorHAnsi"/>
          <w:noProof/>
          <w:sz w:val="24"/>
          <w:szCs w:val="24"/>
        </w:rPr>
        <w:drawing>
          <wp:inline distT="0" distB="0" distL="0" distR="0" wp14:anchorId="0112E247" wp14:editId="4C7F7743">
            <wp:extent cx="6257290" cy="1793174"/>
            <wp:effectExtent l="0" t="0" r="10160" b="17145"/>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4050" w:rsidRPr="00793447" w:rsidRDefault="00804050" w:rsidP="007A5AA0">
      <w:pPr>
        <w:jc w:val="center"/>
        <w:rPr>
          <w:rFonts w:asciiTheme="majorHAnsi" w:hAnsiTheme="majorHAnsi" w:cs="Arial"/>
          <w:b/>
          <w:bCs/>
          <w:color w:val="FF0000"/>
          <w:sz w:val="24"/>
          <w:szCs w:val="24"/>
          <w:lang w:val="ro-RO"/>
        </w:rPr>
      </w:pPr>
    </w:p>
    <w:p w:rsidR="00A86F2E" w:rsidRPr="00793447" w:rsidRDefault="00A86F2E" w:rsidP="00A86F2E">
      <w:pPr>
        <w:jc w:val="center"/>
        <w:rPr>
          <w:rFonts w:asciiTheme="majorHAnsi" w:hAnsiTheme="majorHAnsi" w:cs="Arial"/>
          <w:b/>
          <w:sz w:val="24"/>
          <w:szCs w:val="24"/>
        </w:rPr>
      </w:pPr>
      <w:r w:rsidRPr="00793447">
        <w:rPr>
          <w:rFonts w:asciiTheme="majorHAnsi" w:hAnsiTheme="majorHAnsi"/>
          <w:b/>
          <w:sz w:val="24"/>
          <w:szCs w:val="24"/>
        </w:rPr>
        <w:t xml:space="preserve">Principalele țări partenere în </w:t>
      </w:r>
      <w:r w:rsidR="00D72A00" w:rsidRPr="00793447">
        <w:rPr>
          <w:rFonts w:asciiTheme="majorHAnsi" w:hAnsiTheme="majorHAnsi" w:cs="Arial"/>
          <w:b/>
          <w:sz w:val="24"/>
          <w:szCs w:val="24"/>
        </w:rPr>
        <w:t>semestrul I 2023</w:t>
      </w:r>
    </w:p>
    <w:p w:rsidR="00A26635" w:rsidRPr="00793447" w:rsidRDefault="00A26635" w:rsidP="00A86F2E">
      <w:pPr>
        <w:jc w:val="center"/>
        <w:rPr>
          <w:rFonts w:asciiTheme="majorHAnsi" w:hAnsiTheme="majorHAnsi" w:cs="Arial"/>
          <w:b/>
          <w:sz w:val="24"/>
          <w:szCs w:val="24"/>
        </w:rPr>
        <w:sectPr w:rsidR="00A26635" w:rsidRPr="00793447" w:rsidSect="00EA7170">
          <w:headerReference w:type="even" r:id="rId31"/>
          <w:footerReference w:type="even" r:id="rId32"/>
          <w:footerReference w:type="default" r:id="rId33"/>
          <w:footnotePr>
            <w:pos w:val="beneathText"/>
          </w:footnotePr>
          <w:type w:val="continuous"/>
          <w:pgSz w:w="11907" w:h="16840" w:code="9"/>
          <w:pgMar w:top="1134" w:right="1134" w:bottom="1134" w:left="1134" w:header="567" w:footer="170" w:gutter="0"/>
          <w:cols w:space="708"/>
          <w:titlePg/>
          <w:docGrid w:linePitch="326"/>
        </w:sectPr>
      </w:pPr>
    </w:p>
    <w:p w:rsidR="00A26635" w:rsidRPr="00793447" w:rsidRDefault="00A26635" w:rsidP="00A86F2E">
      <w:pPr>
        <w:jc w:val="center"/>
        <w:rPr>
          <w:rFonts w:asciiTheme="majorHAnsi" w:hAnsiTheme="majorHAnsi" w:cs="Arial"/>
          <w:b/>
          <w:sz w:val="24"/>
          <w:szCs w:val="24"/>
        </w:rPr>
      </w:pPr>
    </w:p>
    <w:p w:rsidR="00A26635" w:rsidRPr="00793447" w:rsidRDefault="00A26635" w:rsidP="00A86F2E">
      <w:pPr>
        <w:jc w:val="center"/>
        <w:rPr>
          <w:rFonts w:asciiTheme="majorHAnsi" w:hAnsiTheme="majorHAnsi" w:cs="Arial"/>
          <w:b/>
          <w:sz w:val="24"/>
          <w:szCs w:val="24"/>
        </w:rPr>
        <w:sectPr w:rsidR="00A26635" w:rsidRPr="00793447" w:rsidSect="00C26936">
          <w:footnotePr>
            <w:pos w:val="beneathText"/>
            <w:numFmt w:val="chicago"/>
            <w:numRestart w:val="eachSect"/>
          </w:footnotePr>
          <w:type w:val="continuous"/>
          <w:pgSz w:w="11907" w:h="16840" w:code="9"/>
          <w:pgMar w:top="1134" w:right="1134" w:bottom="1134" w:left="1134" w:header="567" w:footer="170" w:gutter="0"/>
          <w:pgNumType w:start="0"/>
          <w:cols w:num="2" w:space="708"/>
          <w:titlePg/>
          <w:docGrid w:linePitch="326"/>
        </w:sectPr>
      </w:pPr>
    </w:p>
    <w:p w:rsidR="00E92520" w:rsidRPr="00793447" w:rsidRDefault="00307F20" w:rsidP="00A86F2E">
      <w:pPr>
        <w:jc w:val="center"/>
        <w:rPr>
          <w:rFonts w:asciiTheme="majorHAnsi" w:hAnsiTheme="majorHAnsi" w:cs="Arial"/>
          <w:b/>
          <w:sz w:val="24"/>
          <w:szCs w:val="24"/>
        </w:rPr>
      </w:pPr>
      <w:r w:rsidRPr="00793447">
        <w:rPr>
          <w:rFonts w:asciiTheme="majorHAnsi" w:hAnsiTheme="majorHAnsi" w:cs="Arial"/>
          <w:b/>
          <w:noProof/>
          <w:sz w:val="24"/>
          <w:szCs w:val="24"/>
        </w:rPr>
        <w:drawing>
          <wp:inline distT="0" distB="0" distL="0" distR="0" wp14:anchorId="510F2B65" wp14:editId="4E008FC4">
            <wp:extent cx="2990850" cy="186753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92520" w:rsidRPr="00793447" w:rsidRDefault="00E92520" w:rsidP="00A86F2E">
      <w:pPr>
        <w:jc w:val="center"/>
        <w:rPr>
          <w:rFonts w:asciiTheme="majorHAnsi" w:hAnsiTheme="majorHAnsi" w:cs="Arial"/>
          <w:b/>
          <w:sz w:val="24"/>
          <w:szCs w:val="24"/>
        </w:rPr>
      </w:pPr>
    </w:p>
    <w:p w:rsidR="00A26635" w:rsidRPr="00793447" w:rsidRDefault="00A26635" w:rsidP="00A86F2E">
      <w:pPr>
        <w:jc w:val="center"/>
        <w:rPr>
          <w:rFonts w:asciiTheme="majorHAnsi" w:hAnsiTheme="majorHAnsi" w:cs="Arial"/>
          <w:b/>
          <w:sz w:val="24"/>
          <w:szCs w:val="24"/>
        </w:rPr>
        <w:sectPr w:rsidR="00A26635" w:rsidRPr="00793447" w:rsidSect="00C26936">
          <w:footnotePr>
            <w:pos w:val="beneathText"/>
            <w:numFmt w:val="chicago"/>
            <w:numRestart w:val="eachSect"/>
          </w:footnotePr>
          <w:type w:val="continuous"/>
          <w:pgSz w:w="11907" w:h="16840" w:code="9"/>
          <w:pgMar w:top="1134" w:right="1134" w:bottom="1134" w:left="1134" w:header="567" w:footer="170" w:gutter="0"/>
          <w:pgNumType w:start="0"/>
          <w:cols w:num="2" w:space="708"/>
          <w:titlePg/>
          <w:docGrid w:linePitch="326"/>
        </w:sectPr>
      </w:pPr>
      <w:r w:rsidRPr="00793447">
        <w:rPr>
          <w:rFonts w:asciiTheme="majorHAnsi" w:hAnsiTheme="majorHAnsi" w:cs="Arial"/>
          <w:b/>
          <w:noProof/>
          <w:sz w:val="24"/>
          <w:szCs w:val="24"/>
        </w:rPr>
        <w:drawing>
          <wp:inline distT="0" distB="0" distL="0" distR="0" wp14:anchorId="06983663" wp14:editId="186B21D3">
            <wp:extent cx="2835275" cy="1867535"/>
            <wp:effectExtent l="0" t="0" r="317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04050" w:rsidRPr="00793447" w:rsidRDefault="00A86F2E" w:rsidP="00FD4EBE">
      <w:pPr>
        <w:ind w:right="-143" w:firstLine="426"/>
        <w:jc w:val="both"/>
        <w:rPr>
          <w:rFonts w:asciiTheme="majorHAnsi" w:hAnsiTheme="majorHAnsi"/>
          <w:b/>
          <w:noProof/>
          <w:color w:val="FF0000"/>
          <w:sz w:val="24"/>
          <w:szCs w:val="24"/>
        </w:rPr>
      </w:pPr>
      <w:r w:rsidRPr="00793447">
        <w:rPr>
          <w:rFonts w:asciiTheme="majorHAnsi" w:hAnsiTheme="majorHAnsi"/>
          <w:b/>
          <w:color w:val="FF0000"/>
          <w:sz w:val="24"/>
          <w:szCs w:val="24"/>
        </w:rPr>
        <w:t xml:space="preserve">   </w:t>
      </w:r>
      <w:r w:rsidR="001E67CB" w:rsidRPr="00793447">
        <w:rPr>
          <w:rFonts w:asciiTheme="majorHAnsi" w:hAnsiTheme="majorHAnsi"/>
          <w:b/>
          <w:noProof/>
          <w:color w:val="FF0000"/>
          <w:sz w:val="24"/>
          <w:szCs w:val="24"/>
        </w:rPr>
        <w:t xml:space="preserve">   </w:t>
      </w:r>
      <w:r w:rsidR="00CC458F" w:rsidRPr="00793447">
        <w:rPr>
          <w:rFonts w:asciiTheme="majorHAnsi" w:hAnsiTheme="majorHAnsi"/>
          <w:b/>
          <w:noProof/>
          <w:color w:val="FF0000"/>
          <w:sz w:val="24"/>
          <w:szCs w:val="24"/>
        </w:rPr>
        <w:t xml:space="preserve">    </w:t>
      </w:r>
    </w:p>
    <w:p w:rsidR="004C1195" w:rsidRPr="00793447" w:rsidRDefault="00CC458F" w:rsidP="00FD4EBE">
      <w:pPr>
        <w:ind w:right="-143" w:firstLine="426"/>
        <w:jc w:val="both"/>
        <w:rPr>
          <w:rFonts w:asciiTheme="majorHAnsi" w:hAnsiTheme="majorHAnsi"/>
          <w:b/>
          <w:sz w:val="24"/>
          <w:szCs w:val="24"/>
          <w:lang w:val="it-IT"/>
        </w:rPr>
      </w:pPr>
      <w:r w:rsidRPr="00793447">
        <w:rPr>
          <w:rFonts w:asciiTheme="majorHAnsi" w:hAnsiTheme="majorHAnsi"/>
          <w:b/>
          <w:noProof/>
          <w:color w:val="FF0000"/>
          <w:sz w:val="24"/>
          <w:szCs w:val="24"/>
        </w:rPr>
        <w:t xml:space="preserve">  </w:t>
      </w:r>
      <w:r w:rsidR="009E09CB" w:rsidRPr="00793447">
        <w:rPr>
          <w:rFonts w:asciiTheme="majorHAnsi" w:hAnsiTheme="majorHAnsi"/>
          <w:sz w:val="24"/>
          <w:szCs w:val="24"/>
          <w:lang w:val="ro-RO"/>
        </w:rPr>
        <w:t xml:space="preserve">Principale țări partenere în </w:t>
      </w:r>
      <w:r w:rsidR="00A90E1C" w:rsidRPr="00793447">
        <w:rPr>
          <w:rFonts w:asciiTheme="majorHAnsi" w:hAnsiTheme="majorHAnsi"/>
          <w:sz w:val="24"/>
          <w:szCs w:val="24"/>
          <w:lang w:val="ro-RO"/>
        </w:rPr>
        <w:t>semestrul I</w:t>
      </w:r>
      <w:r w:rsidR="007A5AA0" w:rsidRPr="00793447">
        <w:rPr>
          <w:rFonts w:asciiTheme="majorHAnsi" w:hAnsiTheme="majorHAnsi"/>
          <w:sz w:val="24"/>
          <w:szCs w:val="24"/>
          <w:lang w:val="ro-RO"/>
        </w:rPr>
        <w:t xml:space="preserve"> </w:t>
      </w:r>
      <w:r w:rsidR="00583A47" w:rsidRPr="00793447">
        <w:rPr>
          <w:rFonts w:asciiTheme="majorHAnsi" w:hAnsiTheme="majorHAnsi"/>
          <w:sz w:val="24"/>
          <w:szCs w:val="24"/>
          <w:lang w:val="ro-RO"/>
        </w:rPr>
        <w:t>2023</w:t>
      </w:r>
      <w:r w:rsidR="009E09CB" w:rsidRPr="00793447">
        <w:rPr>
          <w:rFonts w:asciiTheme="majorHAnsi" w:hAnsiTheme="majorHAnsi"/>
          <w:sz w:val="24"/>
          <w:szCs w:val="24"/>
          <w:lang w:val="ro-RO"/>
        </w:rPr>
        <w:t xml:space="preserve">, </w:t>
      </w:r>
      <w:r w:rsidR="00FD4EBE" w:rsidRPr="00793447">
        <w:rPr>
          <w:rFonts w:asciiTheme="majorHAnsi" w:hAnsiTheme="majorHAnsi"/>
          <w:sz w:val="24"/>
          <w:szCs w:val="24"/>
          <w:lang w:val="ro-RO"/>
        </w:rPr>
        <w:t>în derularea exporturilor</w:t>
      </w:r>
      <w:r w:rsidRPr="00793447">
        <w:rPr>
          <w:rFonts w:asciiTheme="majorHAnsi" w:hAnsiTheme="majorHAnsi"/>
          <w:sz w:val="24"/>
          <w:szCs w:val="24"/>
          <w:lang w:val="ro-RO"/>
        </w:rPr>
        <w:t>,</w:t>
      </w:r>
      <w:r w:rsidR="009E09CB" w:rsidRPr="00793447">
        <w:rPr>
          <w:rFonts w:asciiTheme="majorHAnsi" w:hAnsiTheme="majorHAnsi"/>
          <w:sz w:val="24"/>
          <w:szCs w:val="24"/>
          <w:lang w:val="ro-RO"/>
        </w:rPr>
        <w:t xml:space="preserve"> au fost </w:t>
      </w:r>
      <w:bookmarkEnd w:id="5"/>
      <w:bookmarkEnd w:id="6"/>
      <w:r w:rsidR="00FD4EBE" w:rsidRPr="00793447">
        <w:rPr>
          <w:rFonts w:asciiTheme="majorHAnsi" w:hAnsiTheme="majorHAnsi" w:cs="Arial"/>
          <w:sz w:val="24"/>
          <w:szCs w:val="24"/>
          <w:lang w:val="ro-RO"/>
        </w:rPr>
        <w:t>Italia (16,0%), Germania (12,1%), Franța (6,0%), Bulgaria (5,1%), Turcia (4,6%).</w:t>
      </w:r>
    </w:p>
    <w:p w:rsidR="00FD4EBE" w:rsidRPr="00793447" w:rsidRDefault="00FD4EBE" w:rsidP="00E86F8F">
      <w:pPr>
        <w:spacing w:after="0"/>
        <w:ind w:firstLine="426"/>
        <w:jc w:val="both"/>
        <w:rPr>
          <w:rFonts w:asciiTheme="majorHAnsi" w:hAnsiTheme="majorHAnsi" w:cs="Arial"/>
          <w:sz w:val="24"/>
          <w:szCs w:val="24"/>
          <w:lang w:val="ro-RO"/>
        </w:rPr>
      </w:pPr>
      <w:r w:rsidRPr="00793447">
        <w:rPr>
          <w:rFonts w:asciiTheme="majorHAnsi" w:hAnsiTheme="majorHAnsi" w:cs="Arial"/>
          <w:sz w:val="24"/>
          <w:szCs w:val="24"/>
          <w:lang w:val="ro-RO"/>
        </w:rPr>
        <w:t xml:space="preserve">În derularea importurilor  din semestrul I 2023, principalele țări partenere, au fost: </w:t>
      </w:r>
      <w:r w:rsidR="00E86F8F" w:rsidRPr="00793447">
        <w:rPr>
          <w:rFonts w:asciiTheme="majorHAnsi" w:hAnsiTheme="majorHAnsi" w:cs="Arial"/>
          <w:sz w:val="24"/>
          <w:szCs w:val="24"/>
          <w:lang w:val="ro-RO"/>
        </w:rPr>
        <w:t xml:space="preserve"> </w:t>
      </w:r>
      <w:r w:rsidRPr="00793447">
        <w:rPr>
          <w:rFonts w:asciiTheme="majorHAnsi" w:hAnsiTheme="majorHAnsi" w:cs="Arial"/>
          <w:sz w:val="24"/>
          <w:szCs w:val="24"/>
          <w:lang w:val="ro-RO"/>
        </w:rPr>
        <w:t>Germania  (30,1%), Italia (10,7%), Polonia (9,0%), China (6,6%), Belgia (5,4%).</w:t>
      </w:r>
    </w:p>
    <w:p w:rsidR="00871D27" w:rsidRPr="00793447" w:rsidRDefault="00871D27" w:rsidP="00871D27">
      <w:pPr>
        <w:pStyle w:val="BodyText"/>
        <w:spacing w:after="0" w:line="240" w:lineRule="auto"/>
        <w:rPr>
          <w:rFonts w:asciiTheme="majorHAnsi" w:hAnsiTheme="majorHAnsi"/>
          <w:b/>
          <w:sz w:val="24"/>
          <w:szCs w:val="24"/>
          <w:lang w:val="it-IT"/>
        </w:rPr>
      </w:pPr>
    </w:p>
    <w:p w:rsidR="00804050" w:rsidRPr="00793447" w:rsidRDefault="00804050" w:rsidP="00871D27">
      <w:pPr>
        <w:pStyle w:val="BodyText"/>
        <w:spacing w:after="0" w:line="240" w:lineRule="auto"/>
        <w:rPr>
          <w:rFonts w:asciiTheme="majorHAnsi" w:hAnsiTheme="majorHAnsi"/>
          <w:b/>
          <w:sz w:val="24"/>
          <w:szCs w:val="24"/>
          <w:lang w:val="it-IT"/>
        </w:rPr>
      </w:pPr>
    </w:p>
    <w:p w:rsidR="00804050" w:rsidRPr="00793447" w:rsidRDefault="00804050" w:rsidP="00871D27">
      <w:pPr>
        <w:pStyle w:val="BodyText"/>
        <w:spacing w:after="0" w:line="240" w:lineRule="auto"/>
        <w:rPr>
          <w:rFonts w:asciiTheme="majorHAnsi" w:hAnsiTheme="majorHAnsi"/>
          <w:b/>
          <w:sz w:val="24"/>
          <w:szCs w:val="24"/>
          <w:lang w:val="it-IT"/>
        </w:rPr>
      </w:pPr>
    </w:p>
    <w:p w:rsidR="00871D27" w:rsidRPr="00793447" w:rsidRDefault="00871D27" w:rsidP="00871D27">
      <w:pPr>
        <w:pStyle w:val="BodyText"/>
        <w:spacing w:after="0" w:line="240" w:lineRule="auto"/>
        <w:rPr>
          <w:rFonts w:asciiTheme="majorHAnsi" w:hAnsiTheme="majorHAnsi" w:cs="Calibri"/>
          <w:b/>
          <w:i/>
          <w:sz w:val="24"/>
          <w:szCs w:val="24"/>
        </w:rPr>
      </w:pPr>
      <w:r w:rsidRPr="00793447">
        <w:rPr>
          <w:rFonts w:asciiTheme="majorHAnsi" w:hAnsiTheme="majorHAnsi"/>
          <w:b/>
          <w:sz w:val="24"/>
          <w:szCs w:val="24"/>
          <w:lang w:val="it-IT"/>
        </w:rPr>
        <w:t>2.3. LOCUINȚE</w:t>
      </w:r>
    </w:p>
    <w:p w:rsidR="00871D27" w:rsidRPr="00793447" w:rsidRDefault="00871D27" w:rsidP="00871D27">
      <w:pPr>
        <w:pStyle w:val="BodyText"/>
        <w:spacing w:after="0" w:line="240" w:lineRule="auto"/>
        <w:ind w:firstLine="567"/>
        <w:rPr>
          <w:rFonts w:asciiTheme="majorHAnsi" w:hAnsiTheme="majorHAnsi" w:cs="Calibri"/>
          <w:b/>
          <w:i/>
          <w:caps/>
          <w:sz w:val="24"/>
          <w:szCs w:val="24"/>
        </w:rPr>
      </w:pPr>
    </w:p>
    <w:p w:rsidR="00804050" w:rsidRPr="00793447" w:rsidRDefault="00804050" w:rsidP="00871D27">
      <w:pPr>
        <w:pStyle w:val="BodyText"/>
        <w:spacing w:after="0" w:line="240" w:lineRule="auto"/>
        <w:ind w:firstLine="567"/>
        <w:rPr>
          <w:rFonts w:asciiTheme="majorHAnsi" w:hAnsiTheme="majorHAnsi" w:cs="Calibri"/>
          <w:b/>
          <w:i/>
          <w:caps/>
          <w:sz w:val="24"/>
          <w:szCs w:val="24"/>
        </w:rPr>
      </w:pPr>
    </w:p>
    <w:p w:rsidR="00871D27" w:rsidRPr="00793447" w:rsidRDefault="00871D27" w:rsidP="00871D27">
      <w:pPr>
        <w:pStyle w:val="BodyText"/>
        <w:spacing w:after="0" w:line="240" w:lineRule="auto"/>
        <w:ind w:firstLine="567"/>
        <w:rPr>
          <w:rFonts w:asciiTheme="majorHAnsi" w:hAnsiTheme="majorHAnsi"/>
          <w:i/>
          <w:caps/>
          <w:sz w:val="24"/>
          <w:szCs w:val="24"/>
          <w:vertAlign w:val="superscript"/>
          <w:lang w:val="ro-RO"/>
        </w:rPr>
      </w:pPr>
      <w:r w:rsidRPr="00793447">
        <w:rPr>
          <w:rFonts w:asciiTheme="majorHAnsi" w:hAnsiTheme="majorHAnsi" w:cs="Calibri"/>
          <w:b/>
          <w:i/>
          <w:caps/>
          <w:sz w:val="24"/>
          <w:szCs w:val="24"/>
        </w:rPr>
        <w:t>Locuințe terminate</w:t>
      </w:r>
      <w:r w:rsidR="004E2A70">
        <w:rPr>
          <w:rFonts w:asciiTheme="majorHAnsi" w:hAnsiTheme="majorHAnsi" w:cs="Calibri"/>
          <w:b/>
          <w:i/>
          <w:caps/>
          <w:sz w:val="24"/>
          <w:szCs w:val="24"/>
        </w:rPr>
        <w:t xml:space="preserve"> </w:t>
      </w:r>
      <w:r w:rsidR="00930B66">
        <w:rPr>
          <w:rFonts w:asciiTheme="majorHAnsi" w:hAnsiTheme="majorHAnsi" w:cs="Calibri"/>
          <w:b/>
          <w:i/>
          <w:caps/>
          <w:sz w:val="24"/>
          <w:szCs w:val="24"/>
          <w:lang w:val="ro-RO"/>
        </w:rPr>
        <w:t>În</w:t>
      </w:r>
      <w:r w:rsidR="004E2A70">
        <w:rPr>
          <w:rFonts w:asciiTheme="majorHAnsi" w:hAnsiTheme="majorHAnsi" w:cs="Calibri"/>
          <w:b/>
          <w:i/>
          <w:caps/>
          <w:sz w:val="24"/>
          <w:szCs w:val="24"/>
        </w:rPr>
        <w:t xml:space="preserve"> semestrul I 2023</w:t>
      </w:r>
    </w:p>
    <w:p w:rsidR="00871D27" w:rsidRPr="00793447" w:rsidRDefault="00871D27" w:rsidP="00871D27">
      <w:pPr>
        <w:pStyle w:val="BodyText"/>
        <w:spacing w:after="0" w:line="240" w:lineRule="auto"/>
        <w:rPr>
          <w:rFonts w:asciiTheme="majorHAnsi" w:hAnsiTheme="majorHAnsi" w:cs="Calibri"/>
          <w:sz w:val="24"/>
          <w:szCs w:val="24"/>
          <w:lang w:val="ro-RO"/>
        </w:rPr>
      </w:pPr>
    </w:p>
    <w:p w:rsidR="00804050" w:rsidRPr="00793447" w:rsidRDefault="00804050" w:rsidP="00871D27">
      <w:pPr>
        <w:pStyle w:val="BodyText"/>
        <w:spacing w:after="0" w:line="240" w:lineRule="auto"/>
        <w:rPr>
          <w:rFonts w:asciiTheme="majorHAnsi" w:hAnsiTheme="majorHAnsi" w:cs="Calibri"/>
          <w:sz w:val="24"/>
          <w:szCs w:val="24"/>
          <w:lang w:val="ro-RO"/>
        </w:rPr>
      </w:pPr>
    </w:p>
    <w:p w:rsidR="00871D27" w:rsidRPr="00793447" w:rsidRDefault="00871D27" w:rsidP="00871D27">
      <w:pPr>
        <w:pStyle w:val="CM5"/>
        <w:spacing w:line="240" w:lineRule="auto"/>
        <w:ind w:firstLine="720"/>
        <w:jc w:val="both"/>
        <w:rPr>
          <w:rFonts w:asciiTheme="majorHAnsi" w:hAnsiTheme="majorHAnsi"/>
          <w:lang w:val="ro-RO"/>
        </w:rPr>
      </w:pPr>
      <w:r w:rsidRPr="00793447">
        <w:rPr>
          <w:rFonts w:asciiTheme="majorHAnsi" w:hAnsiTheme="majorHAnsi"/>
          <w:lang w:val="ro-RO"/>
        </w:rPr>
        <w:t xml:space="preserve">În </w:t>
      </w:r>
      <w:r w:rsidRPr="00793447">
        <w:rPr>
          <w:rFonts w:asciiTheme="majorHAnsi" w:hAnsiTheme="majorHAnsi"/>
        </w:rPr>
        <w:t xml:space="preserve">semestrul I 2023 </w:t>
      </w:r>
      <w:r w:rsidRPr="00793447">
        <w:rPr>
          <w:rFonts w:asciiTheme="majorHAnsi" w:hAnsiTheme="majorHAnsi"/>
          <w:lang w:val="ro-RO"/>
        </w:rPr>
        <w:t>s-au construit 514 locuinţe, cu 42 locuinţe mai puține faţă de aceeași perioadă a anului precedent.</w:t>
      </w:r>
    </w:p>
    <w:p w:rsidR="00871D27" w:rsidRPr="00793447" w:rsidRDefault="00871D27" w:rsidP="00871D27">
      <w:pPr>
        <w:autoSpaceDE w:val="0"/>
        <w:autoSpaceDN w:val="0"/>
        <w:adjustRightInd w:val="0"/>
        <w:spacing w:after="0" w:line="240" w:lineRule="auto"/>
        <w:ind w:firstLine="720"/>
        <w:rPr>
          <w:rFonts w:asciiTheme="majorHAnsi" w:hAnsiTheme="majorHAnsi"/>
          <w:sz w:val="24"/>
          <w:szCs w:val="24"/>
        </w:rPr>
      </w:pPr>
      <w:r w:rsidRPr="00793447">
        <w:rPr>
          <w:rFonts w:asciiTheme="majorHAnsi" w:hAnsiTheme="majorHAnsi"/>
          <w:sz w:val="24"/>
          <w:szCs w:val="24"/>
        </w:rPr>
        <w:t>Locuinţe</w:t>
      </w:r>
      <w:r w:rsidR="003277BC" w:rsidRPr="00793447">
        <w:rPr>
          <w:rFonts w:asciiTheme="majorHAnsi" w:hAnsiTheme="majorHAnsi"/>
          <w:sz w:val="24"/>
          <w:szCs w:val="24"/>
        </w:rPr>
        <w:t>le</w:t>
      </w:r>
      <w:r w:rsidRPr="00793447">
        <w:rPr>
          <w:rFonts w:asciiTheme="majorHAnsi" w:hAnsiTheme="majorHAnsi"/>
          <w:sz w:val="24"/>
          <w:szCs w:val="24"/>
        </w:rPr>
        <w:t xml:space="preserve"> terminate în semestrul I 2023 s-au realizat din fonduri private, </w:t>
      </w:r>
      <w:r w:rsidR="003277BC" w:rsidRPr="00793447">
        <w:rPr>
          <w:rFonts w:asciiTheme="majorHAnsi" w:hAnsiTheme="majorHAnsi"/>
          <w:sz w:val="24"/>
          <w:szCs w:val="24"/>
        </w:rPr>
        <w:t>n</w:t>
      </w:r>
      <w:r w:rsidRPr="00793447">
        <w:rPr>
          <w:rFonts w:asciiTheme="majorHAnsi" w:hAnsiTheme="majorHAnsi"/>
          <w:sz w:val="24"/>
          <w:szCs w:val="24"/>
        </w:rPr>
        <w:t>umărul lor fiind în scădere cu 20 locuinţe faţă de semestrul l 2022.</w:t>
      </w:r>
    </w:p>
    <w:p w:rsidR="00871D27" w:rsidRPr="00793447" w:rsidRDefault="00871D27" w:rsidP="00871D27">
      <w:pPr>
        <w:autoSpaceDE w:val="0"/>
        <w:autoSpaceDN w:val="0"/>
        <w:adjustRightInd w:val="0"/>
        <w:spacing w:after="0" w:line="240" w:lineRule="auto"/>
        <w:ind w:firstLine="720"/>
        <w:rPr>
          <w:rFonts w:asciiTheme="majorHAnsi" w:hAnsiTheme="majorHAnsi"/>
          <w:sz w:val="24"/>
          <w:szCs w:val="24"/>
        </w:rPr>
      </w:pPr>
    </w:p>
    <w:p w:rsidR="00804050" w:rsidRPr="00793447" w:rsidRDefault="00804050" w:rsidP="00871D27">
      <w:pPr>
        <w:autoSpaceDE w:val="0"/>
        <w:autoSpaceDN w:val="0"/>
        <w:adjustRightInd w:val="0"/>
        <w:spacing w:after="0" w:line="240" w:lineRule="auto"/>
        <w:ind w:firstLine="720"/>
        <w:rPr>
          <w:rFonts w:asciiTheme="majorHAnsi" w:hAnsiTheme="majorHAnsi"/>
          <w:sz w:val="24"/>
          <w:szCs w:val="24"/>
        </w:rPr>
      </w:pPr>
    </w:p>
    <w:p w:rsidR="00871D27" w:rsidRPr="00793447" w:rsidRDefault="00871D27" w:rsidP="00871D27">
      <w:pPr>
        <w:autoSpaceDE w:val="0"/>
        <w:autoSpaceDN w:val="0"/>
        <w:adjustRightInd w:val="0"/>
        <w:spacing w:after="0" w:line="240" w:lineRule="auto"/>
        <w:ind w:firstLine="720"/>
        <w:rPr>
          <w:rFonts w:asciiTheme="majorHAnsi" w:hAnsiTheme="majorHAnsi"/>
          <w:sz w:val="24"/>
          <w:szCs w:val="24"/>
        </w:rPr>
      </w:pPr>
      <w:r w:rsidRPr="00793447">
        <w:rPr>
          <w:rFonts w:asciiTheme="majorHAnsi" w:hAnsiTheme="majorHAnsi"/>
          <w:sz w:val="24"/>
          <w:szCs w:val="24"/>
        </w:rPr>
        <w:t>Situaţia locuinţelor terminate, pe principalele sur</w:t>
      </w:r>
      <w:r w:rsidR="004E2A70">
        <w:rPr>
          <w:rFonts w:asciiTheme="majorHAnsi" w:hAnsiTheme="majorHAnsi"/>
          <w:sz w:val="24"/>
          <w:szCs w:val="24"/>
        </w:rPr>
        <w:t xml:space="preserve">se de finanţare, </w:t>
      </w:r>
      <w:r w:rsidRPr="00793447">
        <w:rPr>
          <w:rFonts w:asciiTheme="majorHAnsi" w:hAnsiTheme="majorHAnsi"/>
          <w:sz w:val="24"/>
          <w:szCs w:val="24"/>
        </w:rPr>
        <w:t>se prezintă astfel:</w:t>
      </w:r>
    </w:p>
    <w:p w:rsidR="00871D27" w:rsidRPr="00793447" w:rsidRDefault="00871D27" w:rsidP="00871D2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 număr -</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12"/>
        <w:gridCol w:w="1038"/>
        <w:gridCol w:w="2576"/>
        <w:gridCol w:w="1519"/>
        <w:gridCol w:w="1767"/>
      </w:tblGrid>
      <w:tr w:rsidR="004E2A70" w:rsidRPr="00793447" w:rsidTr="004E2A70">
        <w:tc>
          <w:tcPr>
            <w:tcW w:w="1843" w:type="dxa"/>
            <w:tcBorders>
              <w:top w:val="single" w:sz="4" w:space="0" w:color="auto"/>
              <w:bottom w:val="single" w:sz="4" w:space="0" w:color="auto"/>
            </w:tcBorders>
          </w:tcPr>
          <w:p w:rsidR="00871D27" w:rsidRPr="00793447" w:rsidRDefault="00871D27" w:rsidP="00AA0357">
            <w:pPr>
              <w:autoSpaceDE w:val="0"/>
              <w:autoSpaceDN w:val="0"/>
              <w:adjustRightInd w:val="0"/>
              <w:spacing w:after="0" w:line="240" w:lineRule="auto"/>
              <w:rPr>
                <w:rFonts w:asciiTheme="majorHAnsi" w:hAnsiTheme="majorHAnsi"/>
                <w:sz w:val="24"/>
                <w:szCs w:val="24"/>
              </w:rPr>
            </w:pPr>
          </w:p>
        </w:tc>
        <w:tc>
          <w:tcPr>
            <w:tcW w:w="1512" w:type="dxa"/>
            <w:tcBorders>
              <w:top w:val="single" w:sz="4" w:space="0" w:color="auto"/>
              <w:bottom w:val="single" w:sz="4" w:space="0" w:color="auto"/>
            </w:tcBorders>
          </w:tcPr>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Locuinţe</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terminate</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 total -</w:t>
            </w:r>
          </w:p>
        </w:tc>
        <w:tc>
          <w:tcPr>
            <w:tcW w:w="1038" w:type="dxa"/>
            <w:tcBorders>
              <w:top w:val="single" w:sz="4" w:space="0" w:color="auto"/>
              <w:bottom w:val="single" w:sz="4" w:space="0" w:color="auto"/>
            </w:tcBorders>
          </w:tcPr>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Fonduri</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publice</w:t>
            </w:r>
          </w:p>
        </w:tc>
        <w:tc>
          <w:tcPr>
            <w:tcW w:w="2576" w:type="dxa"/>
            <w:tcBorders>
              <w:top w:val="single" w:sz="4" w:space="0" w:color="auto"/>
              <w:bottom w:val="single" w:sz="4" w:space="0" w:color="auto"/>
            </w:tcBorders>
          </w:tcPr>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din care:</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subvenţii bugetare</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pentru locuinţe sociale</w:t>
            </w:r>
          </w:p>
        </w:tc>
        <w:tc>
          <w:tcPr>
            <w:tcW w:w="1519" w:type="dxa"/>
            <w:tcBorders>
              <w:top w:val="single" w:sz="4" w:space="0" w:color="auto"/>
              <w:bottom w:val="single" w:sz="4" w:space="0" w:color="auto"/>
            </w:tcBorders>
          </w:tcPr>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Fonduri</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private</w:t>
            </w:r>
          </w:p>
        </w:tc>
        <w:tc>
          <w:tcPr>
            <w:tcW w:w="1767" w:type="dxa"/>
            <w:tcBorders>
              <w:top w:val="single" w:sz="4" w:space="0" w:color="auto"/>
              <w:bottom w:val="single" w:sz="4" w:space="0" w:color="auto"/>
            </w:tcBorders>
          </w:tcPr>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din care:</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 xml:space="preserve"> fonduri ale</w:t>
            </w:r>
          </w:p>
          <w:p w:rsidR="00871D27" w:rsidRPr="00793447" w:rsidRDefault="00871D27" w:rsidP="00AA0357">
            <w:pPr>
              <w:autoSpaceDE w:val="0"/>
              <w:autoSpaceDN w:val="0"/>
              <w:adjustRightInd w:val="0"/>
              <w:spacing w:after="0" w:line="240" w:lineRule="auto"/>
              <w:jc w:val="right"/>
              <w:rPr>
                <w:rFonts w:asciiTheme="majorHAnsi" w:hAnsiTheme="majorHAnsi"/>
                <w:sz w:val="24"/>
                <w:szCs w:val="24"/>
              </w:rPr>
            </w:pPr>
            <w:r w:rsidRPr="00793447">
              <w:rPr>
                <w:rFonts w:asciiTheme="majorHAnsi" w:hAnsiTheme="majorHAnsi"/>
                <w:sz w:val="24"/>
                <w:szCs w:val="24"/>
              </w:rPr>
              <w:t>populaţiei</w:t>
            </w:r>
          </w:p>
        </w:tc>
      </w:tr>
      <w:tr w:rsidR="004E2A70" w:rsidRPr="00793447" w:rsidTr="004E2A70">
        <w:tc>
          <w:tcPr>
            <w:tcW w:w="1843" w:type="dxa"/>
            <w:tcBorders>
              <w:top w:val="single" w:sz="4" w:space="0" w:color="auto"/>
            </w:tcBorders>
          </w:tcPr>
          <w:p w:rsidR="004E2A70" w:rsidRDefault="004E2A70" w:rsidP="004E2A70">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SEM. I 2022</w:t>
            </w:r>
          </w:p>
        </w:tc>
        <w:tc>
          <w:tcPr>
            <w:tcW w:w="1512" w:type="dxa"/>
            <w:tcBorders>
              <w:top w:val="single" w:sz="4" w:space="0" w:color="auto"/>
            </w:tcBorders>
          </w:tcPr>
          <w:p w:rsidR="004E2A70" w:rsidRPr="00793447" w:rsidRDefault="004E2A70" w:rsidP="00AA0357">
            <w:pPr>
              <w:autoSpaceDE w:val="0"/>
              <w:autoSpaceDN w:val="0"/>
              <w:adjustRightInd w:val="0"/>
              <w:spacing w:after="0" w:line="240" w:lineRule="auto"/>
              <w:jc w:val="center"/>
              <w:rPr>
                <w:rFonts w:asciiTheme="majorHAnsi" w:hAnsiTheme="majorHAnsi"/>
                <w:sz w:val="24"/>
                <w:szCs w:val="24"/>
              </w:rPr>
            </w:pPr>
            <w:r>
              <w:rPr>
                <w:rFonts w:asciiTheme="majorHAnsi" w:hAnsiTheme="majorHAnsi"/>
                <w:sz w:val="24"/>
                <w:szCs w:val="24"/>
              </w:rPr>
              <w:t>556</w:t>
            </w:r>
          </w:p>
        </w:tc>
        <w:tc>
          <w:tcPr>
            <w:tcW w:w="1038" w:type="dxa"/>
            <w:tcBorders>
              <w:top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Pr>
                <w:rFonts w:asciiTheme="majorHAnsi" w:hAnsiTheme="majorHAnsi"/>
                <w:sz w:val="24"/>
                <w:szCs w:val="24"/>
              </w:rPr>
              <w:t>22</w:t>
            </w:r>
          </w:p>
        </w:tc>
        <w:tc>
          <w:tcPr>
            <w:tcW w:w="2576" w:type="dxa"/>
            <w:tcBorders>
              <w:top w:val="single" w:sz="4" w:space="0" w:color="auto"/>
            </w:tcBorders>
          </w:tcPr>
          <w:p w:rsidR="004E2A70" w:rsidRPr="00793447" w:rsidRDefault="004E2A70" w:rsidP="00AA0357">
            <w:pPr>
              <w:autoSpaceDE w:val="0"/>
              <w:autoSpaceDN w:val="0"/>
              <w:adjustRightInd w:val="0"/>
              <w:spacing w:after="0" w:line="240" w:lineRule="auto"/>
              <w:jc w:val="center"/>
              <w:rPr>
                <w:rFonts w:asciiTheme="majorHAnsi" w:hAnsiTheme="majorHAnsi"/>
                <w:sz w:val="24"/>
                <w:szCs w:val="24"/>
              </w:rPr>
            </w:pPr>
            <w:r>
              <w:rPr>
                <w:rFonts w:asciiTheme="majorHAnsi" w:hAnsiTheme="majorHAnsi"/>
                <w:sz w:val="24"/>
                <w:szCs w:val="24"/>
              </w:rPr>
              <w:t>22</w:t>
            </w:r>
          </w:p>
        </w:tc>
        <w:tc>
          <w:tcPr>
            <w:tcW w:w="1519" w:type="dxa"/>
            <w:tcBorders>
              <w:top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Pr>
                <w:rFonts w:asciiTheme="majorHAnsi" w:hAnsiTheme="majorHAnsi"/>
                <w:sz w:val="24"/>
                <w:szCs w:val="24"/>
              </w:rPr>
              <w:t>534</w:t>
            </w:r>
          </w:p>
        </w:tc>
        <w:tc>
          <w:tcPr>
            <w:tcW w:w="1767" w:type="dxa"/>
            <w:tcBorders>
              <w:top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Pr>
                <w:rFonts w:asciiTheme="majorHAnsi" w:hAnsiTheme="majorHAnsi"/>
                <w:sz w:val="24"/>
                <w:szCs w:val="24"/>
              </w:rPr>
              <w:t>505</w:t>
            </w:r>
          </w:p>
        </w:tc>
      </w:tr>
      <w:tr w:rsidR="004E2A70" w:rsidRPr="00793447" w:rsidTr="004E2A70">
        <w:tc>
          <w:tcPr>
            <w:tcW w:w="1843" w:type="dxa"/>
            <w:tcBorders>
              <w:bottom w:val="single" w:sz="4" w:space="0" w:color="auto"/>
            </w:tcBorders>
          </w:tcPr>
          <w:p w:rsidR="004E2A70" w:rsidRPr="00793447" w:rsidRDefault="004E2A70" w:rsidP="004E2A70">
            <w:pPr>
              <w:autoSpaceDE w:val="0"/>
              <w:autoSpaceDN w:val="0"/>
              <w:adjustRightInd w:val="0"/>
              <w:spacing w:after="0" w:line="240" w:lineRule="auto"/>
              <w:rPr>
                <w:rFonts w:asciiTheme="majorHAnsi" w:hAnsiTheme="majorHAnsi"/>
                <w:sz w:val="24"/>
                <w:szCs w:val="24"/>
              </w:rPr>
            </w:pPr>
            <w:r>
              <w:rPr>
                <w:rFonts w:asciiTheme="majorHAnsi" w:hAnsiTheme="majorHAnsi"/>
                <w:sz w:val="24"/>
                <w:szCs w:val="24"/>
              </w:rPr>
              <w:t>SEM. I 2023</w:t>
            </w:r>
          </w:p>
        </w:tc>
        <w:tc>
          <w:tcPr>
            <w:tcW w:w="1512" w:type="dxa"/>
            <w:tcBorders>
              <w:bottom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sidRPr="00793447">
              <w:rPr>
                <w:rFonts w:asciiTheme="majorHAnsi" w:hAnsiTheme="majorHAnsi"/>
                <w:sz w:val="24"/>
                <w:szCs w:val="24"/>
              </w:rPr>
              <w:t>514</w:t>
            </w:r>
          </w:p>
        </w:tc>
        <w:tc>
          <w:tcPr>
            <w:tcW w:w="1038" w:type="dxa"/>
            <w:tcBorders>
              <w:bottom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sidRPr="00793447">
              <w:rPr>
                <w:rFonts w:asciiTheme="majorHAnsi" w:hAnsiTheme="majorHAnsi"/>
                <w:sz w:val="24"/>
                <w:szCs w:val="24"/>
              </w:rPr>
              <w:t>-</w:t>
            </w:r>
          </w:p>
        </w:tc>
        <w:tc>
          <w:tcPr>
            <w:tcW w:w="2576" w:type="dxa"/>
            <w:tcBorders>
              <w:bottom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sidRPr="00793447">
              <w:rPr>
                <w:rFonts w:asciiTheme="majorHAnsi" w:hAnsiTheme="majorHAnsi"/>
                <w:sz w:val="24"/>
                <w:szCs w:val="24"/>
              </w:rPr>
              <w:t>-</w:t>
            </w:r>
          </w:p>
        </w:tc>
        <w:tc>
          <w:tcPr>
            <w:tcW w:w="1519" w:type="dxa"/>
            <w:tcBorders>
              <w:bottom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sidRPr="00793447">
              <w:rPr>
                <w:rFonts w:asciiTheme="majorHAnsi" w:hAnsiTheme="majorHAnsi"/>
                <w:sz w:val="24"/>
                <w:szCs w:val="24"/>
              </w:rPr>
              <w:t>514</w:t>
            </w:r>
          </w:p>
        </w:tc>
        <w:tc>
          <w:tcPr>
            <w:tcW w:w="1767" w:type="dxa"/>
            <w:tcBorders>
              <w:bottom w:val="single" w:sz="4" w:space="0" w:color="auto"/>
            </w:tcBorders>
          </w:tcPr>
          <w:p w:rsidR="004E2A70" w:rsidRPr="00793447" w:rsidRDefault="004E2A70" w:rsidP="004E2A70">
            <w:pPr>
              <w:autoSpaceDE w:val="0"/>
              <w:autoSpaceDN w:val="0"/>
              <w:adjustRightInd w:val="0"/>
              <w:spacing w:after="0" w:line="240" w:lineRule="auto"/>
              <w:jc w:val="center"/>
              <w:rPr>
                <w:rFonts w:asciiTheme="majorHAnsi" w:hAnsiTheme="majorHAnsi"/>
                <w:sz w:val="24"/>
                <w:szCs w:val="24"/>
              </w:rPr>
            </w:pPr>
            <w:r w:rsidRPr="00793447">
              <w:rPr>
                <w:rFonts w:asciiTheme="majorHAnsi" w:hAnsiTheme="majorHAnsi"/>
                <w:sz w:val="24"/>
                <w:szCs w:val="24"/>
              </w:rPr>
              <w:t>514</w:t>
            </w:r>
          </w:p>
        </w:tc>
      </w:tr>
    </w:tbl>
    <w:p w:rsidR="00871D27" w:rsidRPr="00793447" w:rsidRDefault="00871D27" w:rsidP="00871D27">
      <w:pPr>
        <w:autoSpaceDE w:val="0"/>
        <w:autoSpaceDN w:val="0"/>
        <w:adjustRightInd w:val="0"/>
        <w:spacing w:after="0" w:line="240" w:lineRule="auto"/>
        <w:ind w:firstLine="720"/>
        <w:rPr>
          <w:rFonts w:asciiTheme="majorHAnsi" w:hAnsiTheme="majorHAnsi"/>
          <w:color w:val="FF0000"/>
          <w:sz w:val="24"/>
          <w:szCs w:val="24"/>
          <w:lang w:val="ro-RO"/>
        </w:rPr>
      </w:pPr>
    </w:p>
    <w:p w:rsidR="00871D27" w:rsidRPr="00793447" w:rsidRDefault="00871D27" w:rsidP="00871D27">
      <w:pPr>
        <w:autoSpaceDE w:val="0"/>
        <w:autoSpaceDN w:val="0"/>
        <w:adjustRightInd w:val="0"/>
        <w:spacing w:after="0" w:line="240" w:lineRule="auto"/>
        <w:rPr>
          <w:rFonts w:asciiTheme="majorHAnsi" w:hAnsiTheme="majorHAnsi"/>
          <w:color w:val="FF0000"/>
          <w:sz w:val="24"/>
          <w:szCs w:val="24"/>
        </w:rPr>
      </w:pPr>
    </w:p>
    <w:p w:rsidR="004E2A70" w:rsidRDefault="004E2A70" w:rsidP="00871D27">
      <w:pPr>
        <w:spacing w:after="0" w:line="240" w:lineRule="auto"/>
        <w:jc w:val="center"/>
        <w:rPr>
          <w:rFonts w:asciiTheme="majorHAnsi" w:hAnsiTheme="majorHAnsi"/>
          <w:b/>
          <w:sz w:val="24"/>
          <w:szCs w:val="24"/>
        </w:rPr>
      </w:pPr>
    </w:p>
    <w:p w:rsidR="004E2A70" w:rsidRDefault="004E2A70" w:rsidP="00871D27">
      <w:pPr>
        <w:spacing w:after="0" w:line="240" w:lineRule="auto"/>
        <w:jc w:val="center"/>
        <w:rPr>
          <w:rFonts w:asciiTheme="majorHAnsi" w:hAnsiTheme="majorHAnsi"/>
          <w:b/>
          <w:sz w:val="24"/>
          <w:szCs w:val="24"/>
        </w:rPr>
      </w:pPr>
    </w:p>
    <w:p w:rsidR="004E2A70" w:rsidRDefault="004E2A70" w:rsidP="00871D27">
      <w:pPr>
        <w:spacing w:after="0" w:line="240" w:lineRule="auto"/>
        <w:jc w:val="center"/>
        <w:rPr>
          <w:rFonts w:asciiTheme="majorHAnsi" w:hAnsiTheme="majorHAnsi"/>
          <w:b/>
          <w:sz w:val="24"/>
          <w:szCs w:val="24"/>
        </w:rPr>
      </w:pPr>
    </w:p>
    <w:p w:rsidR="00871D27" w:rsidRPr="00793447" w:rsidRDefault="00871D27" w:rsidP="00871D27">
      <w:pPr>
        <w:spacing w:after="0" w:line="240" w:lineRule="auto"/>
        <w:jc w:val="center"/>
        <w:rPr>
          <w:rFonts w:asciiTheme="majorHAnsi" w:hAnsiTheme="majorHAnsi"/>
          <w:b/>
          <w:sz w:val="24"/>
          <w:szCs w:val="24"/>
        </w:rPr>
      </w:pPr>
      <w:r w:rsidRPr="00793447">
        <w:rPr>
          <w:rFonts w:asciiTheme="majorHAnsi" w:hAnsiTheme="majorHAnsi"/>
          <w:b/>
          <w:sz w:val="24"/>
          <w:szCs w:val="24"/>
        </w:rPr>
        <w:t xml:space="preserve">Dinamica locuinţelor terminate </w:t>
      </w:r>
    </w:p>
    <w:p w:rsidR="00871D27" w:rsidRPr="00793447" w:rsidRDefault="00871D27" w:rsidP="00871D27">
      <w:pPr>
        <w:spacing w:after="0" w:line="240" w:lineRule="auto"/>
        <w:jc w:val="center"/>
        <w:rPr>
          <w:rFonts w:asciiTheme="majorHAnsi" w:hAnsiTheme="majorHAnsi"/>
          <w:b/>
          <w:sz w:val="24"/>
          <w:szCs w:val="24"/>
        </w:rPr>
      </w:pPr>
    </w:p>
    <w:tbl>
      <w:tblPr>
        <w:tblW w:w="9654" w:type="dxa"/>
        <w:tblInd w:w="93" w:type="dxa"/>
        <w:tblLook w:val="04A0" w:firstRow="1" w:lastRow="0" w:firstColumn="1" w:lastColumn="0" w:noHBand="0" w:noVBand="1"/>
      </w:tblPr>
      <w:tblGrid>
        <w:gridCol w:w="3559"/>
        <w:gridCol w:w="1418"/>
        <w:gridCol w:w="1842"/>
        <w:gridCol w:w="2835"/>
      </w:tblGrid>
      <w:tr w:rsidR="00871D27" w:rsidRPr="00793447" w:rsidTr="00AA0357">
        <w:trPr>
          <w:trHeight w:val="300"/>
        </w:trPr>
        <w:tc>
          <w:tcPr>
            <w:tcW w:w="3559" w:type="dxa"/>
            <w:tcBorders>
              <w:top w:val="single" w:sz="4" w:space="0" w:color="auto"/>
              <w:left w:val="nil"/>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p>
        </w:tc>
        <w:tc>
          <w:tcPr>
            <w:tcW w:w="1418" w:type="dxa"/>
            <w:tcBorders>
              <w:top w:val="single" w:sz="4" w:space="0" w:color="auto"/>
              <w:left w:val="nil"/>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r w:rsidRPr="00793447">
              <w:rPr>
                <w:rFonts w:asciiTheme="majorHAnsi" w:hAnsiTheme="majorHAnsi"/>
                <w:b/>
                <w:sz w:val="24"/>
                <w:szCs w:val="24"/>
              </w:rPr>
              <w:t>Sem.I 2022</w:t>
            </w:r>
          </w:p>
        </w:tc>
        <w:tc>
          <w:tcPr>
            <w:tcW w:w="1842" w:type="dxa"/>
            <w:tcBorders>
              <w:top w:val="single" w:sz="4" w:space="0" w:color="auto"/>
              <w:left w:val="nil"/>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r w:rsidRPr="00793447">
              <w:rPr>
                <w:rFonts w:asciiTheme="majorHAnsi" w:hAnsiTheme="majorHAnsi"/>
                <w:b/>
                <w:sz w:val="24"/>
                <w:szCs w:val="24"/>
              </w:rPr>
              <w:t>Sem.I 2023</w:t>
            </w:r>
          </w:p>
        </w:tc>
        <w:tc>
          <w:tcPr>
            <w:tcW w:w="2835" w:type="dxa"/>
            <w:tcBorders>
              <w:top w:val="single" w:sz="4" w:space="0" w:color="auto"/>
              <w:left w:val="nil"/>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r w:rsidRPr="00793447">
              <w:rPr>
                <w:rFonts w:asciiTheme="majorHAnsi" w:hAnsiTheme="majorHAnsi"/>
                <w:b/>
                <w:sz w:val="24"/>
                <w:szCs w:val="24"/>
              </w:rPr>
              <w:t>Sem.I 2023/ Sem.I 2022</w:t>
            </w:r>
          </w:p>
        </w:tc>
      </w:tr>
      <w:tr w:rsidR="00871D27" w:rsidRPr="00793447" w:rsidTr="00AA0357">
        <w:trPr>
          <w:trHeight w:val="300"/>
        </w:trPr>
        <w:tc>
          <w:tcPr>
            <w:tcW w:w="3559" w:type="dxa"/>
            <w:tcBorders>
              <w:top w:val="nil"/>
              <w:left w:val="nil"/>
              <w:bottom w:val="single" w:sz="4" w:space="0" w:color="auto"/>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p>
        </w:tc>
        <w:tc>
          <w:tcPr>
            <w:tcW w:w="1418" w:type="dxa"/>
            <w:tcBorders>
              <w:top w:val="nil"/>
              <w:left w:val="nil"/>
              <w:bottom w:val="single" w:sz="4" w:space="0" w:color="auto"/>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r w:rsidRPr="00793447">
              <w:rPr>
                <w:rFonts w:asciiTheme="majorHAnsi" w:hAnsiTheme="majorHAnsi"/>
                <w:b/>
                <w:sz w:val="24"/>
                <w:szCs w:val="24"/>
              </w:rPr>
              <w:t>(număr)</w:t>
            </w:r>
          </w:p>
        </w:tc>
        <w:tc>
          <w:tcPr>
            <w:tcW w:w="1842" w:type="dxa"/>
            <w:tcBorders>
              <w:top w:val="nil"/>
              <w:left w:val="nil"/>
              <w:bottom w:val="single" w:sz="4" w:space="0" w:color="auto"/>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r w:rsidRPr="00793447">
              <w:rPr>
                <w:rFonts w:asciiTheme="majorHAnsi" w:hAnsiTheme="majorHAnsi"/>
                <w:b/>
                <w:sz w:val="24"/>
                <w:szCs w:val="24"/>
              </w:rPr>
              <w:t>(număr)</w:t>
            </w:r>
          </w:p>
        </w:tc>
        <w:tc>
          <w:tcPr>
            <w:tcW w:w="2835" w:type="dxa"/>
            <w:tcBorders>
              <w:top w:val="nil"/>
              <w:left w:val="nil"/>
              <w:bottom w:val="single" w:sz="4" w:space="0" w:color="auto"/>
              <w:right w:val="nil"/>
            </w:tcBorders>
            <w:shd w:val="clear" w:color="auto" w:fill="auto"/>
            <w:noWrap/>
            <w:vAlign w:val="bottom"/>
            <w:hideMark/>
          </w:tcPr>
          <w:p w:rsidR="00871D27" w:rsidRPr="00793447" w:rsidRDefault="00871D27" w:rsidP="00AA0357">
            <w:pPr>
              <w:spacing w:after="0" w:line="240" w:lineRule="auto"/>
              <w:jc w:val="center"/>
              <w:rPr>
                <w:rFonts w:asciiTheme="majorHAnsi" w:hAnsiTheme="majorHAnsi"/>
                <w:b/>
                <w:sz w:val="24"/>
                <w:szCs w:val="24"/>
              </w:rPr>
            </w:pPr>
            <w:r w:rsidRPr="00793447">
              <w:rPr>
                <w:rFonts w:asciiTheme="majorHAnsi" w:hAnsiTheme="majorHAnsi"/>
                <w:b/>
                <w:sz w:val="24"/>
                <w:szCs w:val="24"/>
              </w:rPr>
              <w:t>(%)</w:t>
            </w:r>
          </w:p>
        </w:tc>
      </w:tr>
      <w:tr w:rsidR="00871D27" w:rsidRPr="00793447" w:rsidTr="00AA0357">
        <w:trPr>
          <w:trHeight w:val="300"/>
        </w:trPr>
        <w:tc>
          <w:tcPr>
            <w:tcW w:w="3559" w:type="dxa"/>
            <w:tcBorders>
              <w:top w:val="single" w:sz="4" w:space="0" w:color="auto"/>
              <w:left w:val="nil"/>
              <w:bottom w:val="nil"/>
              <w:right w:val="nil"/>
            </w:tcBorders>
            <w:shd w:val="clear" w:color="auto" w:fill="auto"/>
            <w:noWrap/>
            <w:vAlign w:val="bottom"/>
            <w:hideMark/>
          </w:tcPr>
          <w:p w:rsidR="00871D27" w:rsidRPr="00793447" w:rsidRDefault="00871D27" w:rsidP="00AA0357">
            <w:pPr>
              <w:spacing w:after="0" w:line="240" w:lineRule="auto"/>
              <w:rPr>
                <w:rFonts w:asciiTheme="majorHAnsi" w:hAnsiTheme="majorHAnsi"/>
                <w:b/>
                <w:sz w:val="24"/>
                <w:szCs w:val="24"/>
              </w:rPr>
            </w:pPr>
            <w:r w:rsidRPr="00793447">
              <w:rPr>
                <w:rFonts w:asciiTheme="majorHAnsi" w:hAnsiTheme="majorHAnsi"/>
                <w:b/>
                <w:sz w:val="24"/>
                <w:szCs w:val="24"/>
              </w:rPr>
              <w:t>TOTAL locuinţe terminate</w:t>
            </w:r>
          </w:p>
        </w:tc>
        <w:tc>
          <w:tcPr>
            <w:tcW w:w="1418" w:type="dxa"/>
            <w:tcBorders>
              <w:top w:val="single" w:sz="4" w:space="0" w:color="auto"/>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b/>
                <w:sz w:val="24"/>
                <w:szCs w:val="24"/>
              </w:rPr>
            </w:pPr>
            <w:r w:rsidRPr="00793447">
              <w:rPr>
                <w:rFonts w:asciiTheme="majorHAnsi" w:hAnsiTheme="majorHAnsi"/>
                <w:b/>
                <w:sz w:val="24"/>
                <w:szCs w:val="24"/>
              </w:rPr>
              <w:t>556</w:t>
            </w:r>
          </w:p>
        </w:tc>
        <w:tc>
          <w:tcPr>
            <w:tcW w:w="1842" w:type="dxa"/>
            <w:tcBorders>
              <w:top w:val="single" w:sz="4" w:space="0" w:color="auto"/>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b/>
                <w:sz w:val="24"/>
                <w:szCs w:val="24"/>
              </w:rPr>
            </w:pPr>
            <w:r w:rsidRPr="00793447">
              <w:rPr>
                <w:rFonts w:asciiTheme="majorHAnsi" w:hAnsiTheme="majorHAnsi"/>
                <w:b/>
                <w:sz w:val="24"/>
                <w:szCs w:val="24"/>
              </w:rPr>
              <w:t>514</w:t>
            </w:r>
          </w:p>
        </w:tc>
        <w:tc>
          <w:tcPr>
            <w:tcW w:w="2835" w:type="dxa"/>
            <w:tcBorders>
              <w:top w:val="single" w:sz="4" w:space="0" w:color="auto"/>
              <w:left w:val="nil"/>
              <w:bottom w:val="nil"/>
              <w:right w:val="nil"/>
            </w:tcBorders>
            <w:shd w:val="clear" w:color="auto" w:fill="auto"/>
            <w:noWrap/>
            <w:vAlign w:val="bottom"/>
          </w:tcPr>
          <w:p w:rsidR="00871D27" w:rsidRPr="00793447" w:rsidRDefault="00871D27" w:rsidP="00AA0357">
            <w:pPr>
              <w:spacing w:after="0" w:line="240" w:lineRule="auto"/>
              <w:jc w:val="center"/>
              <w:rPr>
                <w:rFonts w:asciiTheme="majorHAnsi" w:hAnsiTheme="majorHAnsi"/>
                <w:b/>
                <w:sz w:val="24"/>
                <w:szCs w:val="24"/>
              </w:rPr>
            </w:pPr>
            <w:r w:rsidRPr="00793447">
              <w:rPr>
                <w:rFonts w:asciiTheme="majorHAnsi" w:hAnsiTheme="majorHAnsi"/>
                <w:b/>
                <w:sz w:val="24"/>
                <w:szCs w:val="24"/>
              </w:rPr>
              <w:t>92,4</w:t>
            </w:r>
          </w:p>
        </w:tc>
      </w:tr>
      <w:tr w:rsidR="00871D27" w:rsidRPr="00793447" w:rsidTr="00AA0357">
        <w:trPr>
          <w:trHeight w:val="300"/>
        </w:trPr>
        <w:tc>
          <w:tcPr>
            <w:tcW w:w="3559" w:type="dxa"/>
            <w:tcBorders>
              <w:top w:val="nil"/>
              <w:left w:val="nil"/>
              <w:bottom w:val="nil"/>
              <w:right w:val="nil"/>
            </w:tcBorders>
            <w:shd w:val="clear" w:color="auto" w:fill="auto"/>
            <w:noWrap/>
            <w:vAlign w:val="bottom"/>
            <w:hideMark/>
          </w:tcPr>
          <w:p w:rsidR="00871D27" w:rsidRPr="00793447" w:rsidRDefault="00871D27" w:rsidP="00AA0357">
            <w:pPr>
              <w:spacing w:after="0" w:line="240" w:lineRule="auto"/>
              <w:ind w:firstLine="333"/>
              <w:rPr>
                <w:rFonts w:asciiTheme="majorHAnsi" w:hAnsiTheme="majorHAnsi"/>
                <w:sz w:val="24"/>
                <w:szCs w:val="24"/>
              </w:rPr>
            </w:pPr>
            <w:r w:rsidRPr="00793447">
              <w:rPr>
                <w:rFonts w:asciiTheme="majorHAnsi" w:hAnsiTheme="majorHAnsi"/>
                <w:sz w:val="24"/>
                <w:szCs w:val="24"/>
              </w:rPr>
              <w:t xml:space="preserve"> din care:</w:t>
            </w:r>
          </w:p>
        </w:tc>
        <w:tc>
          <w:tcPr>
            <w:tcW w:w="1418"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rPr>
                <w:rFonts w:asciiTheme="majorHAnsi" w:hAnsiTheme="majorHAnsi"/>
                <w:sz w:val="24"/>
                <w:szCs w:val="24"/>
              </w:rPr>
            </w:pPr>
          </w:p>
        </w:tc>
        <w:tc>
          <w:tcPr>
            <w:tcW w:w="1842"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rPr>
                <w:rFonts w:asciiTheme="majorHAnsi" w:hAnsiTheme="majorHAnsi"/>
                <w:sz w:val="24"/>
                <w:szCs w:val="24"/>
              </w:rPr>
            </w:pPr>
          </w:p>
        </w:tc>
        <w:tc>
          <w:tcPr>
            <w:tcW w:w="2835" w:type="dxa"/>
            <w:tcBorders>
              <w:top w:val="nil"/>
              <w:left w:val="nil"/>
              <w:bottom w:val="nil"/>
              <w:right w:val="nil"/>
            </w:tcBorders>
            <w:shd w:val="clear" w:color="auto" w:fill="auto"/>
            <w:noWrap/>
            <w:vAlign w:val="bottom"/>
          </w:tcPr>
          <w:p w:rsidR="00871D27" w:rsidRPr="00793447" w:rsidRDefault="00871D27" w:rsidP="00AA0357">
            <w:pPr>
              <w:spacing w:after="0" w:line="240" w:lineRule="auto"/>
              <w:jc w:val="center"/>
              <w:rPr>
                <w:rFonts w:asciiTheme="majorHAnsi" w:hAnsiTheme="majorHAnsi"/>
                <w:sz w:val="24"/>
                <w:szCs w:val="24"/>
              </w:rPr>
            </w:pPr>
          </w:p>
        </w:tc>
      </w:tr>
      <w:tr w:rsidR="00871D27" w:rsidRPr="00793447" w:rsidTr="00AA0357">
        <w:trPr>
          <w:trHeight w:val="300"/>
        </w:trPr>
        <w:tc>
          <w:tcPr>
            <w:tcW w:w="3559" w:type="dxa"/>
            <w:tcBorders>
              <w:top w:val="nil"/>
              <w:left w:val="nil"/>
              <w:bottom w:val="nil"/>
              <w:right w:val="nil"/>
            </w:tcBorders>
            <w:shd w:val="clear" w:color="auto" w:fill="auto"/>
            <w:noWrap/>
            <w:vAlign w:val="bottom"/>
            <w:hideMark/>
          </w:tcPr>
          <w:p w:rsidR="00871D27" w:rsidRPr="00793447" w:rsidRDefault="00871D27" w:rsidP="00AA0357">
            <w:pPr>
              <w:spacing w:after="0" w:line="240" w:lineRule="auto"/>
              <w:ind w:firstLine="333"/>
              <w:rPr>
                <w:rFonts w:asciiTheme="majorHAnsi" w:hAnsiTheme="majorHAnsi"/>
                <w:i/>
                <w:sz w:val="24"/>
                <w:szCs w:val="24"/>
              </w:rPr>
            </w:pPr>
            <w:r w:rsidRPr="00793447">
              <w:rPr>
                <w:rFonts w:asciiTheme="majorHAnsi" w:hAnsiTheme="majorHAnsi"/>
                <w:bCs/>
                <w:i/>
                <w:sz w:val="24"/>
                <w:szCs w:val="24"/>
              </w:rPr>
              <w:t>Locuinţe cu 1 cameră</w:t>
            </w:r>
          </w:p>
        </w:tc>
        <w:tc>
          <w:tcPr>
            <w:tcW w:w="1418"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14</w:t>
            </w:r>
          </w:p>
        </w:tc>
        <w:tc>
          <w:tcPr>
            <w:tcW w:w="1842"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3</w:t>
            </w:r>
          </w:p>
        </w:tc>
        <w:tc>
          <w:tcPr>
            <w:tcW w:w="2835" w:type="dxa"/>
            <w:tcBorders>
              <w:top w:val="nil"/>
              <w:left w:val="nil"/>
              <w:bottom w:val="nil"/>
              <w:right w:val="nil"/>
            </w:tcBorders>
            <w:shd w:val="clear" w:color="auto" w:fill="auto"/>
            <w:noWrap/>
            <w:vAlign w:val="bottom"/>
          </w:tcPr>
          <w:p w:rsidR="00871D27" w:rsidRPr="00793447" w:rsidRDefault="00871D27" w:rsidP="00AA0357">
            <w:pPr>
              <w:spacing w:after="0" w:line="240" w:lineRule="auto"/>
              <w:jc w:val="center"/>
              <w:rPr>
                <w:rFonts w:asciiTheme="majorHAnsi" w:hAnsiTheme="majorHAnsi"/>
                <w:i/>
                <w:sz w:val="24"/>
                <w:szCs w:val="24"/>
              </w:rPr>
            </w:pPr>
            <w:r w:rsidRPr="00793447">
              <w:rPr>
                <w:rFonts w:asciiTheme="majorHAnsi" w:hAnsiTheme="majorHAnsi"/>
                <w:i/>
                <w:sz w:val="24"/>
                <w:szCs w:val="24"/>
              </w:rPr>
              <w:t>21,4</w:t>
            </w:r>
          </w:p>
        </w:tc>
      </w:tr>
      <w:tr w:rsidR="00871D27" w:rsidRPr="00793447" w:rsidTr="00AA0357">
        <w:trPr>
          <w:trHeight w:val="300"/>
        </w:trPr>
        <w:tc>
          <w:tcPr>
            <w:tcW w:w="3559" w:type="dxa"/>
            <w:tcBorders>
              <w:top w:val="nil"/>
              <w:left w:val="nil"/>
              <w:bottom w:val="nil"/>
              <w:right w:val="nil"/>
            </w:tcBorders>
            <w:shd w:val="clear" w:color="auto" w:fill="auto"/>
            <w:noWrap/>
            <w:vAlign w:val="bottom"/>
            <w:hideMark/>
          </w:tcPr>
          <w:p w:rsidR="00871D27" w:rsidRPr="00793447" w:rsidRDefault="00871D27" w:rsidP="00AA0357">
            <w:pPr>
              <w:spacing w:after="0" w:line="240" w:lineRule="auto"/>
              <w:ind w:firstLine="333"/>
              <w:rPr>
                <w:rFonts w:asciiTheme="majorHAnsi" w:hAnsiTheme="majorHAnsi"/>
                <w:i/>
                <w:sz w:val="24"/>
                <w:szCs w:val="24"/>
              </w:rPr>
            </w:pPr>
            <w:r w:rsidRPr="00793447">
              <w:rPr>
                <w:rFonts w:asciiTheme="majorHAnsi" w:hAnsiTheme="majorHAnsi"/>
                <w:bCs/>
                <w:i/>
                <w:sz w:val="24"/>
                <w:szCs w:val="24"/>
              </w:rPr>
              <w:t>Locuinţe cu 2 camere</w:t>
            </w:r>
          </w:p>
        </w:tc>
        <w:tc>
          <w:tcPr>
            <w:tcW w:w="1418"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56</w:t>
            </w:r>
          </w:p>
        </w:tc>
        <w:tc>
          <w:tcPr>
            <w:tcW w:w="1842"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26</w:t>
            </w:r>
          </w:p>
        </w:tc>
        <w:tc>
          <w:tcPr>
            <w:tcW w:w="2835" w:type="dxa"/>
            <w:tcBorders>
              <w:top w:val="nil"/>
              <w:left w:val="nil"/>
              <w:bottom w:val="nil"/>
              <w:right w:val="nil"/>
            </w:tcBorders>
            <w:shd w:val="clear" w:color="auto" w:fill="auto"/>
            <w:noWrap/>
            <w:vAlign w:val="bottom"/>
          </w:tcPr>
          <w:p w:rsidR="00871D27" w:rsidRPr="00793447" w:rsidRDefault="00871D27" w:rsidP="00AA0357">
            <w:pPr>
              <w:spacing w:after="0" w:line="240" w:lineRule="auto"/>
              <w:jc w:val="center"/>
              <w:rPr>
                <w:rFonts w:asciiTheme="majorHAnsi" w:hAnsiTheme="majorHAnsi"/>
                <w:i/>
                <w:sz w:val="24"/>
                <w:szCs w:val="24"/>
              </w:rPr>
            </w:pPr>
            <w:r w:rsidRPr="00793447">
              <w:rPr>
                <w:rFonts w:asciiTheme="majorHAnsi" w:hAnsiTheme="majorHAnsi"/>
                <w:i/>
                <w:sz w:val="24"/>
                <w:szCs w:val="24"/>
              </w:rPr>
              <w:t xml:space="preserve">  46,4</w:t>
            </w:r>
          </w:p>
        </w:tc>
      </w:tr>
      <w:tr w:rsidR="00871D27" w:rsidRPr="00793447" w:rsidTr="00AA0357">
        <w:trPr>
          <w:trHeight w:val="300"/>
        </w:trPr>
        <w:tc>
          <w:tcPr>
            <w:tcW w:w="3559" w:type="dxa"/>
            <w:tcBorders>
              <w:top w:val="nil"/>
              <w:left w:val="nil"/>
              <w:bottom w:val="nil"/>
              <w:right w:val="nil"/>
            </w:tcBorders>
            <w:shd w:val="clear" w:color="auto" w:fill="auto"/>
            <w:noWrap/>
            <w:vAlign w:val="bottom"/>
            <w:hideMark/>
          </w:tcPr>
          <w:p w:rsidR="00871D27" w:rsidRPr="00793447" w:rsidRDefault="00871D27" w:rsidP="00AA0357">
            <w:pPr>
              <w:spacing w:after="0" w:line="240" w:lineRule="auto"/>
              <w:ind w:firstLine="333"/>
              <w:rPr>
                <w:rFonts w:asciiTheme="majorHAnsi" w:hAnsiTheme="majorHAnsi"/>
                <w:i/>
                <w:sz w:val="24"/>
                <w:szCs w:val="24"/>
              </w:rPr>
            </w:pPr>
            <w:r w:rsidRPr="00793447">
              <w:rPr>
                <w:rFonts w:asciiTheme="majorHAnsi" w:hAnsiTheme="majorHAnsi"/>
                <w:bCs/>
                <w:i/>
                <w:sz w:val="24"/>
                <w:szCs w:val="24"/>
              </w:rPr>
              <w:t>Locuinţe cu 3 camere</w:t>
            </w:r>
          </w:p>
        </w:tc>
        <w:tc>
          <w:tcPr>
            <w:tcW w:w="1418"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158</w:t>
            </w:r>
          </w:p>
        </w:tc>
        <w:tc>
          <w:tcPr>
            <w:tcW w:w="1842"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172</w:t>
            </w:r>
          </w:p>
        </w:tc>
        <w:tc>
          <w:tcPr>
            <w:tcW w:w="2835" w:type="dxa"/>
            <w:tcBorders>
              <w:top w:val="nil"/>
              <w:left w:val="nil"/>
              <w:bottom w:val="nil"/>
              <w:right w:val="nil"/>
            </w:tcBorders>
            <w:shd w:val="clear" w:color="auto" w:fill="auto"/>
            <w:noWrap/>
            <w:vAlign w:val="bottom"/>
          </w:tcPr>
          <w:p w:rsidR="00871D27" w:rsidRPr="00793447" w:rsidRDefault="00871D27" w:rsidP="00AA0357">
            <w:pPr>
              <w:spacing w:after="0" w:line="240" w:lineRule="auto"/>
              <w:jc w:val="center"/>
              <w:rPr>
                <w:rFonts w:asciiTheme="majorHAnsi" w:hAnsiTheme="majorHAnsi"/>
                <w:i/>
                <w:sz w:val="24"/>
                <w:szCs w:val="24"/>
              </w:rPr>
            </w:pPr>
            <w:r w:rsidRPr="00793447">
              <w:rPr>
                <w:rFonts w:asciiTheme="majorHAnsi" w:hAnsiTheme="majorHAnsi"/>
                <w:i/>
                <w:sz w:val="24"/>
                <w:szCs w:val="24"/>
              </w:rPr>
              <w:t>108,9</w:t>
            </w:r>
          </w:p>
        </w:tc>
      </w:tr>
      <w:tr w:rsidR="00871D27" w:rsidRPr="00793447" w:rsidTr="00AA0357">
        <w:trPr>
          <w:trHeight w:val="300"/>
        </w:trPr>
        <w:tc>
          <w:tcPr>
            <w:tcW w:w="3559" w:type="dxa"/>
            <w:tcBorders>
              <w:top w:val="nil"/>
              <w:left w:val="nil"/>
              <w:bottom w:val="nil"/>
              <w:right w:val="nil"/>
            </w:tcBorders>
            <w:shd w:val="clear" w:color="auto" w:fill="auto"/>
            <w:noWrap/>
            <w:vAlign w:val="bottom"/>
            <w:hideMark/>
          </w:tcPr>
          <w:p w:rsidR="00871D27" w:rsidRPr="00793447" w:rsidRDefault="00871D27" w:rsidP="00AA0357">
            <w:pPr>
              <w:spacing w:after="0" w:line="240" w:lineRule="auto"/>
              <w:ind w:firstLine="333"/>
              <w:rPr>
                <w:rFonts w:asciiTheme="majorHAnsi" w:hAnsiTheme="majorHAnsi"/>
                <w:i/>
                <w:sz w:val="24"/>
                <w:szCs w:val="24"/>
              </w:rPr>
            </w:pPr>
            <w:r w:rsidRPr="00793447">
              <w:rPr>
                <w:rFonts w:asciiTheme="majorHAnsi" w:hAnsiTheme="majorHAnsi"/>
                <w:bCs/>
                <w:i/>
                <w:sz w:val="24"/>
                <w:szCs w:val="24"/>
              </w:rPr>
              <w:t>Locuinţe cu 4 camere</w:t>
            </w:r>
          </w:p>
        </w:tc>
        <w:tc>
          <w:tcPr>
            <w:tcW w:w="1418"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160</w:t>
            </w:r>
          </w:p>
        </w:tc>
        <w:tc>
          <w:tcPr>
            <w:tcW w:w="1842"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150</w:t>
            </w:r>
          </w:p>
        </w:tc>
        <w:tc>
          <w:tcPr>
            <w:tcW w:w="2835" w:type="dxa"/>
            <w:tcBorders>
              <w:top w:val="nil"/>
              <w:left w:val="nil"/>
              <w:bottom w:val="nil"/>
              <w:right w:val="nil"/>
            </w:tcBorders>
            <w:shd w:val="clear" w:color="auto" w:fill="auto"/>
            <w:noWrap/>
            <w:vAlign w:val="bottom"/>
          </w:tcPr>
          <w:p w:rsidR="00871D27" w:rsidRPr="00793447" w:rsidRDefault="00871D27" w:rsidP="00AA0357">
            <w:pPr>
              <w:spacing w:after="0" w:line="240" w:lineRule="auto"/>
              <w:jc w:val="center"/>
              <w:rPr>
                <w:rFonts w:asciiTheme="majorHAnsi" w:hAnsiTheme="majorHAnsi"/>
                <w:i/>
                <w:sz w:val="24"/>
                <w:szCs w:val="24"/>
              </w:rPr>
            </w:pPr>
            <w:r w:rsidRPr="00793447">
              <w:rPr>
                <w:rFonts w:asciiTheme="majorHAnsi" w:hAnsiTheme="majorHAnsi"/>
                <w:i/>
                <w:sz w:val="24"/>
                <w:szCs w:val="24"/>
              </w:rPr>
              <w:t>93,8</w:t>
            </w:r>
          </w:p>
        </w:tc>
      </w:tr>
      <w:tr w:rsidR="00871D27" w:rsidRPr="00793447" w:rsidTr="00AA0357">
        <w:trPr>
          <w:trHeight w:val="300"/>
        </w:trPr>
        <w:tc>
          <w:tcPr>
            <w:tcW w:w="3559" w:type="dxa"/>
            <w:tcBorders>
              <w:top w:val="nil"/>
              <w:left w:val="nil"/>
              <w:bottom w:val="nil"/>
              <w:right w:val="nil"/>
            </w:tcBorders>
            <w:shd w:val="clear" w:color="auto" w:fill="auto"/>
            <w:noWrap/>
            <w:vAlign w:val="bottom"/>
            <w:hideMark/>
          </w:tcPr>
          <w:p w:rsidR="00871D27" w:rsidRPr="00793447" w:rsidRDefault="00871D27" w:rsidP="00AA0357">
            <w:pPr>
              <w:spacing w:after="0" w:line="240" w:lineRule="auto"/>
              <w:ind w:firstLine="333"/>
              <w:rPr>
                <w:rFonts w:asciiTheme="majorHAnsi" w:hAnsiTheme="majorHAnsi"/>
                <w:i/>
                <w:sz w:val="24"/>
                <w:szCs w:val="24"/>
              </w:rPr>
            </w:pPr>
            <w:r w:rsidRPr="00793447">
              <w:rPr>
                <w:rFonts w:asciiTheme="majorHAnsi" w:hAnsiTheme="majorHAnsi"/>
                <w:bCs/>
                <w:i/>
                <w:sz w:val="24"/>
                <w:szCs w:val="24"/>
              </w:rPr>
              <w:t>Locuinţe cu 5 camere şi peste</w:t>
            </w:r>
          </w:p>
        </w:tc>
        <w:tc>
          <w:tcPr>
            <w:tcW w:w="1418"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168</w:t>
            </w:r>
          </w:p>
        </w:tc>
        <w:tc>
          <w:tcPr>
            <w:tcW w:w="1842" w:type="dxa"/>
            <w:tcBorders>
              <w:top w:val="nil"/>
              <w:left w:val="nil"/>
              <w:bottom w:val="nil"/>
              <w:right w:val="nil"/>
            </w:tcBorders>
            <w:shd w:val="clear" w:color="auto" w:fill="auto"/>
            <w:noWrap/>
            <w:vAlign w:val="bottom"/>
          </w:tcPr>
          <w:p w:rsidR="00871D27" w:rsidRPr="00793447" w:rsidRDefault="00871D27" w:rsidP="00AA0357">
            <w:pPr>
              <w:spacing w:after="0" w:line="240" w:lineRule="auto"/>
              <w:ind w:right="459"/>
              <w:jc w:val="right"/>
              <w:rPr>
                <w:rFonts w:asciiTheme="majorHAnsi" w:hAnsiTheme="majorHAnsi"/>
                <w:i/>
                <w:sz w:val="24"/>
                <w:szCs w:val="24"/>
              </w:rPr>
            </w:pPr>
            <w:r w:rsidRPr="00793447">
              <w:rPr>
                <w:rFonts w:asciiTheme="majorHAnsi" w:hAnsiTheme="majorHAnsi"/>
                <w:i/>
                <w:sz w:val="24"/>
                <w:szCs w:val="24"/>
              </w:rPr>
              <w:t>163</w:t>
            </w:r>
          </w:p>
        </w:tc>
        <w:tc>
          <w:tcPr>
            <w:tcW w:w="2835" w:type="dxa"/>
            <w:tcBorders>
              <w:top w:val="nil"/>
              <w:left w:val="nil"/>
              <w:bottom w:val="nil"/>
              <w:right w:val="nil"/>
            </w:tcBorders>
            <w:shd w:val="clear" w:color="auto" w:fill="auto"/>
            <w:noWrap/>
            <w:vAlign w:val="bottom"/>
          </w:tcPr>
          <w:p w:rsidR="00871D27" w:rsidRPr="00793447" w:rsidRDefault="00871D27" w:rsidP="00AA0357">
            <w:pPr>
              <w:spacing w:after="0" w:line="240" w:lineRule="auto"/>
              <w:jc w:val="center"/>
              <w:rPr>
                <w:rFonts w:asciiTheme="majorHAnsi" w:hAnsiTheme="majorHAnsi"/>
                <w:i/>
                <w:sz w:val="24"/>
                <w:szCs w:val="24"/>
                <w:lang w:val="ro-RO"/>
              </w:rPr>
            </w:pPr>
            <w:r w:rsidRPr="00793447">
              <w:rPr>
                <w:rFonts w:asciiTheme="majorHAnsi" w:hAnsiTheme="majorHAnsi"/>
                <w:i/>
                <w:sz w:val="24"/>
                <w:szCs w:val="24"/>
                <w:lang w:val="ro-RO"/>
              </w:rPr>
              <w:t xml:space="preserve"> 97,0</w:t>
            </w:r>
          </w:p>
        </w:tc>
      </w:tr>
    </w:tbl>
    <w:p w:rsidR="00871D27" w:rsidRPr="00793447" w:rsidRDefault="00871D27" w:rsidP="00871D27">
      <w:pPr>
        <w:pStyle w:val="Default"/>
        <w:ind w:firstLine="720"/>
        <w:jc w:val="both"/>
        <w:rPr>
          <w:rFonts w:asciiTheme="majorHAnsi" w:hAnsiTheme="majorHAnsi" w:cs="Times New Roman"/>
          <w:color w:val="auto"/>
        </w:rPr>
      </w:pPr>
    </w:p>
    <w:p w:rsidR="00871D27" w:rsidRPr="00793447" w:rsidRDefault="00871D27" w:rsidP="00871D27">
      <w:pPr>
        <w:pStyle w:val="Default"/>
        <w:ind w:firstLine="720"/>
        <w:jc w:val="both"/>
        <w:rPr>
          <w:rFonts w:asciiTheme="majorHAnsi" w:hAnsiTheme="majorHAnsi" w:cs="Times New Roman"/>
          <w:color w:val="auto"/>
          <w:highlight w:val="red"/>
          <w:lang w:val="ro-RO"/>
        </w:rPr>
      </w:pPr>
    </w:p>
    <w:p w:rsidR="00871D27" w:rsidRPr="00793447" w:rsidRDefault="00871D27" w:rsidP="00871D27">
      <w:pPr>
        <w:pStyle w:val="Default"/>
        <w:ind w:firstLine="720"/>
        <w:jc w:val="both"/>
        <w:rPr>
          <w:rFonts w:asciiTheme="majorHAnsi" w:hAnsiTheme="majorHAnsi" w:cs="Times New Roman"/>
          <w:color w:val="auto"/>
          <w:lang w:val="ro-RO"/>
        </w:rPr>
      </w:pPr>
      <w:r w:rsidRPr="00793447">
        <w:rPr>
          <w:rFonts w:asciiTheme="majorHAnsi" w:hAnsiTheme="majorHAnsi" w:cs="Times New Roman"/>
          <w:color w:val="auto"/>
          <w:lang w:val="ro-RO"/>
        </w:rPr>
        <w:t>Numărul locuinţelor cu 3 camere a crescut cu 8,9% în semestrul I 2023 comparativ cu semestrul I 2022.</w:t>
      </w:r>
    </w:p>
    <w:p w:rsidR="00871D27" w:rsidRPr="00793447" w:rsidRDefault="00871D27" w:rsidP="00871D27">
      <w:pPr>
        <w:pStyle w:val="Default"/>
        <w:ind w:firstLine="720"/>
        <w:jc w:val="both"/>
        <w:rPr>
          <w:rFonts w:asciiTheme="majorHAnsi" w:hAnsiTheme="majorHAnsi" w:cs="Times New Roman"/>
          <w:color w:val="FF0000"/>
          <w:lang w:val="ro-RO"/>
        </w:rPr>
      </w:pPr>
    </w:p>
    <w:p w:rsidR="00871D27" w:rsidRPr="00793447" w:rsidRDefault="00871D27" w:rsidP="00871D27">
      <w:pPr>
        <w:spacing w:line="360" w:lineRule="auto"/>
        <w:jc w:val="center"/>
        <w:rPr>
          <w:rFonts w:asciiTheme="majorHAnsi" w:hAnsiTheme="majorHAnsi"/>
          <w:b/>
          <w:color w:val="FF0000"/>
          <w:sz w:val="24"/>
          <w:szCs w:val="24"/>
        </w:rPr>
      </w:pPr>
      <w:r w:rsidRPr="00793447">
        <w:rPr>
          <w:rFonts w:asciiTheme="majorHAnsi" w:hAnsiTheme="majorHAnsi"/>
          <w:b/>
          <w:noProof/>
          <w:color w:val="FF0000"/>
          <w:sz w:val="24"/>
          <w:szCs w:val="24"/>
        </w:rPr>
        <w:drawing>
          <wp:inline distT="0" distB="0" distL="0" distR="0" wp14:anchorId="14C9BCDF" wp14:editId="1A5F6326">
            <wp:extent cx="4430412" cy="3776870"/>
            <wp:effectExtent l="0" t="0" r="8255"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71D27" w:rsidRPr="00793447" w:rsidRDefault="00871D27" w:rsidP="00871D27">
      <w:pPr>
        <w:spacing w:after="0" w:line="240" w:lineRule="auto"/>
        <w:ind w:firstLine="720"/>
        <w:jc w:val="both"/>
        <w:rPr>
          <w:rFonts w:asciiTheme="majorHAnsi" w:hAnsiTheme="majorHAnsi"/>
          <w:sz w:val="24"/>
          <w:szCs w:val="24"/>
        </w:rPr>
      </w:pPr>
      <w:r w:rsidRPr="00793447">
        <w:rPr>
          <w:rFonts w:asciiTheme="majorHAnsi" w:hAnsiTheme="majorHAnsi"/>
          <w:sz w:val="24"/>
          <w:szCs w:val="24"/>
        </w:rPr>
        <w:t>Gradul de dotare cu utilităţi a locuinţelor terminate în semestrul I 2023  se prezintă astfel: numărul locuinţelor care au instalaţie electrică din total locuinţe este de 100,0%, 99,6% au apă curentă, 67,5% au canalizare și 100,0% dispun de baie.</w:t>
      </w:r>
    </w:p>
    <w:p w:rsidR="00871D27" w:rsidRPr="00793447" w:rsidRDefault="00871D27" w:rsidP="00871D27">
      <w:pPr>
        <w:spacing w:after="0" w:line="240" w:lineRule="auto"/>
        <w:ind w:firstLine="720"/>
        <w:jc w:val="both"/>
        <w:rPr>
          <w:rFonts w:asciiTheme="majorHAnsi" w:hAnsiTheme="majorHAnsi"/>
          <w:sz w:val="24"/>
          <w:szCs w:val="24"/>
          <w:lang w:val="en-GB"/>
        </w:rPr>
      </w:pPr>
    </w:p>
    <w:p w:rsidR="00871D27" w:rsidRPr="00793447" w:rsidRDefault="00871D27" w:rsidP="00871D27">
      <w:pPr>
        <w:spacing w:after="0" w:line="240" w:lineRule="auto"/>
        <w:ind w:firstLine="720"/>
        <w:jc w:val="both"/>
        <w:rPr>
          <w:rFonts w:asciiTheme="majorHAnsi" w:hAnsiTheme="majorHAnsi"/>
          <w:sz w:val="24"/>
          <w:szCs w:val="24"/>
        </w:rPr>
      </w:pPr>
      <w:r w:rsidRPr="00793447">
        <w:rPr>
          <w:rFonts w:asciiTheme="majorHAnsi" w:hAnsiTheme="majorHAnsi"/>
          <w:sz w:val="24"/>
          <w:szCs w:val="24"/>
        </w:rPr>
        <w:t xml:space="preserve"> </w:t>
      </w:r>
    </w:p>
    <w:p w:rsidR="00804050" w:rsidRPr="00793447" w:rsidRDefault="00804050" w:rsidP="00871D27">
      <w:pPr>
        <w:spacing w:after="0" w:line="240" w:lineRule="auto"/>
        <w:ind w:firstLine="720"/>
        <w:jc w:val="both"/>
        <w:rPr>
          <w:rFonts w:asciiTheme="majorHAnsi" w:hAnsiTheme="majorHAnsi"/>
          <w:sz w:val="24"/>
          <w:szCs w:val="24"/>
        </w:rPr>
      </w:pPr>
    </w:p>
    <w:p w:rsidR="00804050" w:rsidRDefault="00804050" w:rsidP="00871D27">
      <w:pPr>
        <w:spacing w:after="0" w:line="240" w:lineRule="auto"/>
        <w:ind w:firstLine="720"/>
        <w:jc w:val="both"/>
        <w:rPr>
          <w:rFonts w:asciiTheme="majorHAnsi" w:hAnsiTheme="majorHAnsi"/>
          <w:sz w:val="24"/>
          <w:szCs w:val="24"/>
        </w:rPr>
      </w:pPr>
    </w:p>
    <w:p w:rsidR="004E2A70" w:rsidRPr="00793447" w:rsidRDefault="004E2A70" w:rsidP="00871D27">
      <w:pPr>
        <w:spacing w:after="0" w:line="240" w:lineRule="auto"/>
        <w:ind w:firstLine="720"/>
        <w:jc w:val="both"/>
        <w:rPr>
          <w:rFonts w:asciiTheme="majorHAnsi" w:hAnsiTheme="majorHAnsi"/>
          <w:sz w:val="24"/>
          <w:szCs w:val="24"/>
        </w:rPr>
      </w:pPr>
    </w:p>
    <w:p w:rsidR="00804050" w:rsidRPr="00793447" w:rsidRDefault="00804050" w:rsidP="00871D27">
      <w:pPr>
        <w:spacing w:after="0" w:line="240" w:lineRule="auto"/>
        <w:ind w:firstLine="720"/>
        <w:jc w:val="both"/>
        <w:rPr>
          <w:rFonts w:asciiTheme="majorHAnsi" w:hAnsiTheme="majorHAnsi"/>
          <w:sz w:val="24"/>
          <w:szCs w:val="24"/>
        </w:rPr>
      </w:pPr>
    </w:p>
    <w:p w:rsidR="00804050" w:rsidRPr="00793447" w:rsidRDefault="00804050" w:rsidP="00871D27">
      <w:pPr>
        <w:spacing w:after="0" w:line="240" w:lineRule="auto"/>
        <w:ind w:firstLine="720"/>
        <w:jc w:val="both"/>
        <w:rPr>
          <w:rFonts w:asciiTheme="majorHAnsi" w:hAnsiTheme="majorHAnsi"/>
          <w:sz w:val="24"/>
          <w:szCs w:val="24"/>
        </w:rPr>
      </w:pPr>
    </w:p>
    <w:p w:rsidR="00804050" w:rsidRPr="00793447" w:rsidRDefault="00804050" w:rsidP="00871D27">
      <w:pPr>
        <w:spacing w:after="0" w:line="240" w:lineRule="auto"/>
        <w:ind w:firstLine="720"/>
        <w:jc w:val="both"/>
        <w:rPr>
          <w:rFonts w:asciiTheme="majorHAnsi" w:hAnsiTheme="majorHAnsi"/>
          <w:sz w:val="24"/>
          <w:szCs w:val="24"/>
        </w:rPr>
      </w:pPr>
    </w:p>
    <w:p w:rsidR="00871D27" w:rsidRPr="00793447" w:rsidRDefault="00871D27" w:rsidP="00871D27">
      <w:pPr>
        <w:autoSpaceDE w:val="0"/>
        <w:autoSpaceDN w:val="0"/>
        <w:adjustRightInd w:val="0"/>
        <w:spacing w:after="0" w:line="240" w:lineRule="auto"/>
        <w:jc w:val="center"/>
        <w:rPr>
          <w:rFonts w:asciiTheme="majorHAnsi" w:hAnsiTheme="majorHAnsi"/>
          <w:b/>
          <w:bCs/>
          <w:sz w:val="24"/>
          <w:szCs w:val="24"/>
        </w:rPr>
      </w:pPr>
      <w:r w:rsidRPr="00793447">
        <w:rPr>
          <w:rFonts w:asciiTheme="majorHAnsi" w:hAnsiTheme="majorHAnsi"/>
          <w:b/>
          <w:bCs/>
          <w:sz w:val="24"/>
          <w:szCs w:val="24"/>
        </w:rPr>
        <w:t xml:space="preserve">Gradul de dotare cu utilități a locuinţelor terminate,  </w:t>
      </w:r>
    </w:p>
    <w:p w:rsidR="00871D27" w:rsidRPr="00793447" w:rsidRDefault="00871D27" w:rsidP="00871D27">
      <w:pPr>
        <w:autoSpaceDE w:val="0"/>
        <w:autoSpaceDN w:val="0"/>
        <w:adjustRightInd w:val="0"/>
        <w:spacing w:after="0" w:line="240" w:lineRule="auto"/>
        <w:jc w:val="center"/>
        <w:rPr>
          <w:rFonts w:asciiTheme="majorHAnsi" w:hAnsiTheme="majorHAnsi"/>
          <w:b/>
          <w:bCs/>
          <w:sz w:val="24"/>
          <w:szCs w:val="24"/>
        </w:rPr>
      </w:pPr>
      <w:r w:rsidRPr="00793447">
        <w:rPr>
          <w:rFonts w:asciiTheme="majorHAnsi" w:hAnsiTheme="majorHAnsi"/>
          <w:b/>
          <w:bCs/>
          <w:sz w:val="24"/>
          <w:szCs w:val="24"/>
        </w:rPr>
        <w:t xml:space="preserve">în mediul urban şi în mediul rural, în </w:t>
      </w:r>
      <w:r w:rsidRPr="00793447">
        <w:rPr>
          <w:rFonts w:asciiTheme="majorHAnsi" w:hAnsiTheme="majorHAnsi"/>
          <w:b/>
          <w:sz w:val="24"/>
          <w:szCs w:val="24"/>
        </w:rPr>
        <w:t>semestrul I 2023</w:t>
      </w:r>
    </w:p>
    <w:p w:rsidR="00871D27" w:rsidRPr="00793447" w:rsidRDefault="00871D27" w:rsidP="00871D27">
      <w:pPr>
        <w:ind w:firstLine="720"/>
        <w:rPr>
          <w:rFonts w:asciiTheme="majorHAnsi" w:hAnsiTheme="majorHAnsi"/>
          <w:b/>
          <w:bCs/>
          <w:color w:val="FF0000"/>
          <w:sz w:val="24"/>
          <w:szCs w:val="24"/>
        </w:rPr>
      </w:pPr>
    </w:p>
    <w:p w:rsidR="00871D27" w:rsidRPr="00793447" w:rsidRDefault="00871D27" w:rsidP="00871D27">
      <w:pPr>
        <w:ind w:firstLine="567"/>
        <w:jc w:val="center"/>
        <w:rPr>
          <w:rFonts w:asciiTheme="majorHAnsi" w:hAnsiTheme="majorHAnsi"/>
          <w:color w:val="FF0000"/>
          <w:sz w:val="24"/>
          <w:szCs w:val="24"/>
        </w:rPr>
      </w:pPr>
      <w:r w:rsidRPr="00793447">
        <w:rPr>
          <w:rFonts w:asciiTheme="majorHAnsi" w:hAnsiTheme="majorHAnsi"/>
          <w:noProof/>
          <w:color w:val="FF0000"/>
          <w:sz w:val="24"/>
          <w:szCs w:val="24"/>
        </w:rPr>
        <mc:AlternateContent>
          <mc:Choice Requires="wps">
            <w:drawing>
              <wp:anchor distT="0" distB="0" distL="114300" distR="114300" simplePos="0" relativeHeight="251674624" behindDoc="0" locked="0" layoutInCell="1" allowOverlap="1" wp14:anchorId="586B5BC1" wp14:editId="29ABE8BC">
                <wp:simplePos x="0" y="0"/>
                <wp:positionH relativeFrom="column">
                  <wp:posOffset>4038358</wp:posOffset>
                </wp:positionH>
                <wp:positionV relativeFrom="paragraph">
                  <wp:posOffset>272551</wp:posOffset>
                </wp:positionV>
                <wp:extent cx="1432560" cy="3898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3447" w:rsidRPr="00CE7A21" w:rsidRDefault="00793447" w:rsidP="00871D27">
                            <w:pPr>
                              <w:ind w:left="720"/>
                              <w:rPr>
                                <w:rFonts w:ascii="Cambria" w:hAnsi="Cambria"/>
                                <w:sz w:val="20"/>
                                <w:szCs w:val="20"/>
                              </w:rPr>
                            </w:pPr>
                            <w:r w:rsidRPr="00CE7A21">
                              <w:rPr>
                                <w:rFonts w:ascii="Cambria" w:hAnsi="Cambria"/>
                                <w:sz w:val="20"/>
                                <w:szCs w:val="20"/>
                              </w:rPr>
                              <w:t>-procente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6B5BC1" id="Text Box 2" o:spid="_x0000_s1044" type="#_x0000_t202" style="position:absolute;left:0;text-align:left;margin-left:318pt;margin-top:21.45pt;width:112.8pt;height:30.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WkhQIAABg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" stroked="f">
                <v:textbox style="mso-fit-shape-to-text:t">
                  <w:txbxContent>
                    <w:p w:rsidR="00793447" w:rsidRPr="00CE7A21" w:rsidRDefault="00793447" w:rsidP="00871D27">
                      <w:pPr>
                        <w:ind w:left="720"/>
                        <w:rPr>
                          <w:rFonts w:ascii="Cambria" w:hAnsi="Cambria"/>
                          <w:sz w:val="20"/>
                          <w:szCs w:val="20"/>
                        </w:rPr>
                      </w:pPr>
                      <w:r w:rsidRPr="00CE7A21">
                        <w:rPr>
                          <w:rFonts w:ascii="Cambria" w:hAnsi="Cambria"/>
                          <w:sz w:val="20"/>
                          <w:szCs w:val="20"/>
                        </w:rPr>
                        <w:t>-procente -</w:t>
                      </w:r>
                    </w:p>
                  </w:txbxContent>
                </v:textbox>
              </v:shape>
            </w:pict>
          </mc:Fallback>
        </mc:AlternateContent>
      </w:r>
      <w:r w:rsidRPr="00793447">
        <w:rPr>
          <w:rFonts w:asciiTheme="majorHAnsi" w:hAnsiTheme="majorHAnsi"/>
          <w:noProof/>
          <w:color w:val="FF0000"/>
          <w:sz w:val="24"/>
          <w:szCs w:val="24"/>
        </w:rPr>
        <w:drawing>
          <wp:inline distT="0" distB="0" distL="0" distR="0" wp14:anchorId="430C442C" wp14:editId="48A01796">
            <wp:extent cx="5374640" cy="2850078"/>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71D27" w:rsidRPr="00793447" w:rsidRDefault="00871D27" w:rsidP="00871D27">
      <w:pPr>
        <w:autoSpaceDE w:val="0"/>
        <w:autoSpaceDN w:val="0"/>
        <w:adjustRightInd w:val="0"/>
        <w:spacing w:after="0" w:line="240" w:lineRule="auto"/>
        <w:ind w:firstLine="567"/>
        <w:jc w:val="both"/>
        <w:rPr>
          <w:rFonts w:asciiTheme="majorHAnsi" w:hAnsiTheme="majorHAnsi"/>
          <w:sz w:val="24"/>
          <w:szCs w:val="24"/>
        </w:rPr>
      </w:pPr>
      <w:r w:rsidRPr="00793447">
        <w:rPr>
          <w:rFonts w:asciiTheme="majorHAnsi" w:hAnsiTheme="majorHAnsi"/>
          <w:sz w:val="24"/>
          <w:szCs w:val="24"/>
        </w:rPr>
        <w:t>Din graficul prezentat se constată că în mediul rural dotarea cu apă curentă și canalizare a locuinţelor este mai scăzută faţă de cea din mediul urban.</w:t>
      </w:r>
    </w:p>
    <w:p w:rsidR="00871D27" w:rsidRPr="00793447" w:rsidRDefault="00871D27" w:rsidP="00871D27">
      <w:pPr>
        <w:autoSpaceDE w:val="0"/>
        <w:autoSpaceDN w:val="0"/>
        <w:adjustRightInd w:val="0"/>
        <w:spacing w:after="0" w:line="240" w:lineRule="auto"/>
        <w:ind w:firstLine="567"/>
        <w:jc w:val="both"/>
        <w:rPr>
          <w:rFonts w:asciiTheme="majorHAnsi" w:hAnsiTheme="majorHAnsi"/>
          <w:sz w:val="24"/>
          <w:szCs w:val="24"/>
        </w:rPr>
      </w:pPr>
      <w:r w:rsidRPr="00793447">
        <w:rPr>
          <w:rFonts w:asciiTheme="majorHAnsi" w:hAnsiTheme="majorHAnsi"/>
          <w:sz w:val="24"/>
          <w:szCs w:val="24"/>
        </w:rPr>
        <w:t>Cea mai mare discrepanţă între mediile de rezidenţă, în semestrul I 2023  în ceea ce privește utilităţile prezentate anterior, se înregistrează la dotarea cu canalizare (89,8% din locuinţele noi situate în mediul urban au canalizare, faţă de 60,9% în mediul rural).</w:t>
      </w:r>
    </w:p>
    <w:p w:rsidR="00871D27" w:rsidRPr="00793447" w:rsidRDefault="00871D27" w:rsidP="00871D27">
      <w:pPr>
        <w:autoSpaceDE w:val="0"/>
        <w:autoSpaceDN w:val="0"/>
        <w:adjustRightInd w:val="0"/>
        <w:spacing w:after="0" w:line="240" w:lineRule="auto"/>
        <w:jc w:val="both"/>
        <w:rPr>
          <w:rFonts w:asciiTheme="majorHAnsi" w:hAnsiTheme="majorHAnsi"/>
          <w:color w:val="FF0000"/>
          <w:sz w:val="24"/>
          <w:szCs w:val="24"/>
        </w:rPr>
      </w:pPr>
    </w:p>
    <w:p w:rsidR="00871D27" w:rsidRPr="00793447" w:rsidRDefault="00871D27" w:rsidP="00871D27">
      <w:pPr>
        <w:autoSpaceDE w:val="0"/>
        <w:autoSpaceDN w:val="0"/>
        <w:adjustRightInd w:val="0"/>
        <w:spacing w:after="0" w:line="240" w:lineRule="auto"/>
        <w:ind w:firstLine="720"/>
        <w:jc w:val="both"/>
        <w:rPr>
          <w:rFonts w:asciiTheme="majorHAnsi" w:hAnsiTheme="majorHAnsi"/>
          <w:sz w:val="24"/>
          <w:szCs w:val="24"/>
        </w:rPr>
      </w:pPr>
      <w:r w:rsidRPr="00793447">
        <w:rPr>
          <w:rFonts w:asciiTheme="majorHAnsi" w:hAnsiTheme="majorHAnsi"/>
          <w:sz w:val="24"/>
          <w:szCs w:val="24"/>
        </w:rPr>
        <w:t>După materialul de construcţie utilizat, cea mai mare parte a locuinţelor noi (5</w:t>
      </w:r>
      <w:r w:rsidR="003277BC" w:rsidRPr="00793447">
        <w:rPr>
          <w:rFonts w:asciiTheme="majorHAnsi" w:hAnsiTheme="majorHAnsi"/>
          <w:sz w:val="24"/>
          <w:szCs w:val="24"/>
        </w:rPr>
        <w:t>2</w:t>
      </w:r>
      <w:r w:rsidRPr="00793447">
        <w:rPr>
          <w:rFonts w:asciiTheme="majorHAnsi" w:hAnsiTheme="majorHAnsi"/>
          <w:sz w:val="24"/>
          <w:szCs w:val="24"/>
        </w:rPr>
        <w:t>,</w:t>
      </w:r>
      <w:r w:rsidR="003277BC" w:rsidRPr="00793447">
        <w:rPr>
          <w:rFonts w:asciiTheme="majorHAnsi" w:hAnsiTheme="majorHAnsi"/>
          <w:sz w:val="24"/>
          <w:szCs w:val="24"/>
        </w:rPr>
        <w:t>5</w:t>
      </w:r>
      <w:r w:rsidRPr="00793447">
        <w:rPr>
          <w:rFonts w:asciiTheme="majorHAnsi" w:hAnsiTheme="majorHAnsi"/>
          <w:sz w:val="24"/>
          <w:szCs w:val="24"/>
        </w:rPr>
        <w:t>% în total) au fost construite din cărămidă, piatră sau înlocuitori cu planşee din beton armat şi lemn. Aceste materiale deţin ponderea cea mai mare şi în mediul rural (5</w:t>
      </w:r>
      <w:r w:rsidR="0044338B" w:rsidRPr="00793447">
        <w:rPr>
          <w:rFonts w:asciiTheme="majorHAnsi" w:hAnsiTheme="majorHAnsi"/>
          <w:sz w:val="24"/>
          <w:szCs w:val="24"/>
        </w:rPr>
        <w:t>4</w:t>
      </w:r>
      <w:r w:rsidRPr="00793447">
        <w:rPr>
          <w:rFonts w:asciiTheme="majorHAnsi" w:hAnsiTheme="majorHAnsi"/>
          <w:sz w:val="24"/>
          <w:szCs w:val="24"/>
        </w:rPr>
        <w:t>,3%).</w:t>
      </w:r>
    </w:p>
    <w:p w:rsidR="00871D27" w:rsidRPr="00793447" w:rsidRDefault="00871D27" w:rsidP="00871D27">
      <w:pPr>
        <w:autoSpaceDE w:val="0"/>
        <w:autoSpaceDN w:val="0"/>
        <w:adjustRightInd w:val="0"/>
        <w:spacing w:after="0" w:line="240" w:lineRule="auto"/>
        <w:ind w:firstLine="720"/>
        <w:jc w:val="both"/>
        <w:rPr>
          <w:rFonts w:asciiTheme="majorHAnsi" w:hAnsiTheme="majorHAnsi"/>
          <w:color w:val="FF0000"/>
          <w:sz w:val="24"/>
          <w:szCs w:val="24"/>
        </w:rPr>
      </w:pPr>
    </w:p>
    <w:p w:rsidR="00871D27" w:rsidRPr="00793447" w:rsidRDefault="00871D27" w:rsidP="00871D27">
      <w:pPr>
        <w:autoSpaceDE w:val="0"/>
        <w:autoSpaceDN w:val="0"/>
        <w:adjustRightInd w:val="0"/>
        <w:spacing w:after="0" w:line="240" w:lineRule="auto"/>
        <w:jc w:val="center"/>
        <w:rPr>
          <w:rFonts w:asciiTheme="majorHAnsi" w:hAnsiTheme="majorHAnsi"/>
          <w:b/>
          <w:bCs/>
          <w:sz w:val="24"/>
          <w:szCs w:val="24"/>
        </w:rPr>
      </w:pPr>
      <w:r w:rsidRPr="00793447">
        <w:rPr>
          <w:rFonts w:asciiTheme="majorHAnsi" w:hAnsiTheme="majorHAnsi"/>
          <w:b/>
          <w:bCs/>
          <w:sz w:val="24"/>
          <w:szCs w:val="24"/>
        </w:rPr>
        <w:t>Structura locuinţelor terminate,</w:t>
      </w:r>
    </w:p>
    <w:p w:rsidR="00871D27" w:rsidRPr="00793447" w:rsidRDefault="00871D27" w:rsidP="00871D27">
      <w:pPr>
        <w:autoSpaceDE w:val="0"/>
        <w:autoSpaceDN w:val="0"/>
        <w:adjustRightInd w:val="0"/>
        <w:spacing w:after="0" w:line="240" w:lineRule="auto"/>
        <w:ind w:firstLine="720"/>
        <w:jc w:val="center"/>
        <w:rPr>
          <w:rFonts w:asciiTheme="majorHAnsi" w:hAnsiTheme="majorHAnsi"/>
          <w:b/>
          <w:bCs/>
          <w:sz w:val="24"/>
          <w:szCs w:val="24"/>
        </w:rPr>
      </w:pPr>
      <w:r w:rsidRPr="00793447">
        <w:rPr>
          <w:rFonts w:asciiTheme="majorHAnsi" w:hAnsiTheme="majorHAnsi"/>
          <w:b/>
          <w:bCs/>
          <w:sz w:val="24"/>
          <w:szCs w:val="24"/>
        </w:rPr>
        <w:t xml:space="preserve">pe medii de rezidenţă, după materialul de construcţie, </w:t>
      </w:r>
      <w:r w:rsidRPr="00793447">
        <w:rPr>
          <w:rFonts w:asciiTheme="majorHAnsi" w:hAnsiTheme="majorHAnsi"/>
          <w:b/>
          <w:sz w:val="24"/>
          <w:szCs w:val="24"/>
        </w:rPr>
        <w:t xml:space="preserve">semestrul I 2023 </w:t>
      </w:r>
    </w:p>
    <w:p w:rsidR="00871D27" w:rsidRPr="00793447" w:rsidRDefault="00871D27" w:rsidP="00871D27">
      <w:pPr>
        <w:autoSpaceDE w:val="0"/>
        <w:autoSpaceDN w:val="0"/>
        <w:adjustRightInd w:val="0"/>
        <w:spacing w:line="360" w:lineRule="auto"/>
        <w:ind w:firstLine="720"/>
        <w:jc w:val="center"/>
        <w:rPr>
          <w:rFonts w:asciiTheme="majorHAnsi" w:hAnsiTheme="majorHAnsi"/>
          <w:b/>
          <w:bCs/>
          <w:sz w:val="24"/>
          <w:szCs w:val="24"/>
        </w:rPr>
      </w:pPr>
    </w:p>
    <w:p w:rsidR="00871D27" w:rsidRPr="00793447" w:rsidRDefault="00871D27" w:rsidP="00871D27">
      <w:pPr>
        <w:autoSpaceDE w:val="0"/>
        <w:autoSpaceDN w:val="0"/>
        <w:adjustRightInd w:val="0"/>
        <w:spacing w:line="360" w:lineRule="auto"/>
        <w:ind w:firstLine="720"/>
        <w:jc w:val="center"/>
        <w:rPr>
          <w:rFonts w:asciiTheme="majorHAnsi" w:hAnsiTheme="majorHAnsi"/>
          <w:b/>
          <w:bCs/>
          <w:sz w:val="24"/>
          <w:szCs w:val="24"/>
        </w:rPr>
      </w:pPr>
      <w:r w:rsidRPr="00793447">
        <w:rPr>
          <w:rFonts w:asciiTheme="majorHAnsi" w:hAnsiTheme="majorHAnsi"/>
          <w:b/>
          <w:bCs/>
          <w:noProof/>
          <w:sz w:val="24"/>
          <w:szCs w:val="24"/>
        </w:rPr>
        <w:drawing>
          <wp:inline distT="0" distB="0" distL="0" distR="0" wp14:anchorId="40B5B9E5" wp14:editId="16A96F52">
            <wp:extent cx="5492750" cy="2697480"/>
            <wp:effectExtent l="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71D27" w:rsidRPr="00793447" w:rsidRDefault="00871D27" w:rsidP="00871D27">
      <w:pPr>
        <w:spacing w:after="0" w:line="240" w:lineRule="auto"/>
        <w:ind w:firstLine="720"/>
        <w:jc w:val="both"/>
        <w:rPr>
          <w:rFonts w:asciiTheme="majorHAnsi" w:hAnsiTheme="majorHAnsi"/>
          <w:sz w:val="24"/>
          <w:szCs w:val="24"/>
        </w:rPr>
      </w:pPr>
      <w:r w:rsidRPr="00793447">
        <w:rPr>
          <w:rFonts w:asciiTheme="majorHAnsi" w:hAnsiTheme="majorHAnsi"/>
          <w:sz w:val="24"/>
          <w:szCs w:val="24"/>
        </w:rPr>
        <w:t>În mediul urban au fost date în folosinţă mai puţine locuinţe din cărămidă, piatră sau înlocuitori cu planşee din beton armat şi lemn, comparativ cu mediul rural (5</w:t>
      </w:r>
      <w:r w:rsidR="0044338B" w:rsidRPr="00793447">
        <w:rPr>
          <w:rFonts w:asciiTheme="majorHAnsi" w:hAnsiTheme="majorHAnsi"/>
          <w:sz w:val="24"/>
          <w:szCs w:val="24"/>
        </w:rPr>
        <w:t>5</w:t>
      </w:r>
      <w:r w:rsidRPr="00793447">
        <w:rPr>
          <w:rFonts w:asciiTheme="majorHAnsi" w:hAnsiTheme="majorHAnsi"/>
          <w:sz w:val="24"/>
          <w:szCs w:val="24"/>
        </w:rPr>
        <w:t xml:space="preserve"> locuinţe, faţă de 21</w:t>
      </w:r>
      <w:r w:rsidR="003277BC" w:rsidRPr="00793447">
        <w:rPr>
          <w:rFonts w:asciiTheme="majorHAnsi" w:hAnsiTheme="majorHAnsi"/>
          <w:sz w:val="24"/>
          <w:szCs w:val="24"/>
        </w:rPr>
        <w:t>5</w:t>
      </w:r>
      <w:r w:rsidRPr="00793447">
        <w:rPr>
          <w:rFonts w:asciiTheme="majorHAnsi" w:hAnsiTheme="majorHAnsi"/>
          <w:sz w:val="24"/>
          <w:szCs w:val="24"/>
        </w:rPr>
        <w:t xml:space="preserve"> locuinţe).</w:t>
      </w:r>
    </w:p>
    <w:p w:rsidR="00871D27" w:rsidRPr="00793447" w:rsidRDefault="00871D27" w:rsidP="00871D27">
      <w:pPr>
        <w:autoSpaceDE w:val="0"/>
        <w:autoSpaceDN w:val="0"/>
        <w:adjustRightInd w:val="0"/>
        <w:spacing w:line="360" w:lineRule="auto"/>
        <w:ind w:firstLine="720"/>
        <w:jc w:val="both"/>
        <w:rPr>
          <w:rFonts w:asciiTheme="majorHAnsi" w:hAnsiTheme="majorHAnsi" w:cs="TimesNewRoman"/>
          <w:color w:val="FF0000"/>
          <w:sz w:val="24"/>
          <w:szCs w:val="24"/>
        </w:rPr>
      </w:pPr>
    </w:p>
    <w:p w:rsidR="00871D27" w:rsidRPr="00793447" w:rsidRDefault="00871D27" w:rsidP="00871D27">
      <w:pPr>
        <w:autoSpaceDE w:val="0"/>
        <w:autoSpaceDN w:val="0"/>
        <w:adjustRightInd w:val="0"/>
        <w:spacing w:after="0" w:line="240" w:lineRule="auto"/>
        <w:jc w:val="center"/>
        <w:rPr>
          <w:rFonts w:asciiTheme="majorHAnsi" w:hAnsiTheme="majorHAnsi" w:cs="TimesNewRoman,Bold"/>
          <w:b/>
          <w:bCs/>
          <w:sz w:val="24"/>
          <w:szCs w:val="24"/>
        </w:rPr>
      </w:pPr>
      <w:r w:rsidRPr="00793447">
        <w:rPr>
          <w:rFonts w:asciiTheme="majorHAnsi" w:hAnsiTheme="majorHAnsi" w:cs="TimesNewRoman,Bold"/>
          <w:b/>
          <w:bCs/>
          <w:sz w:val="24"/>
          <w:szCs w:val="24"/>
        </w:rPr>
        <w:t>Repartizarea locuinţelor terminate după numărul de niveluri al clădirilor,</w:t>
      </w:r>
    </w:p>
    <w:p w:rsidR="00871D27" w:rsidRPr="00793447" w:rsidRDefault="00871D27" w:rsidP="00871D27">
      <w:pPr>
        <w:autoSpaceDE w:val="0"/>
        <w:autoSpaceDN w:val="0"/>
        <w:adjustRightInd w:val="0"/>
        <w:spacing w:after="0" w:line="240" w:lineRule="auto"/>
        <w:jc w:val="center"/>
        <w:rPr>
          <w:rFonts w:asciiTheme="majorHAnsi" w:hAnsiTheme="majorHAnsi" w:cs="TimesNewRoman,Bold"/>
          <w:b/>
          <w:bCs/>
          <w:sz w:val="24"/>
          <w:szCs w:val="24"/>
        </w:rPr>
      </w:pPr>
      <w:r w:rsidRPr="00793447">
        <w:rPr>
          <w:rFonts w:asciiTheme="majorHAnsi" w:hAnsiTheme="majorHAnsi" w:cs="TimesNewRoman,Bold"/>
          <w:b/>
          <w:bCs/>
          <w:sz w:val="24"/>
          <w:szCs w:val="24"/>
        </w:rPr>
        <w:t xml:space="preserve">pe total şi pe medii de rezidenţă, în </w:t>
      </w:r>
      <w:r w:rsidRPr="00793447">
        <w:rPr>
          <w:rFonts w:asciiTheme="majorHAnsi" w:hAnsiTheme="majorHAnsi"/>
          <w:b/>
          <w:sz w:val="24"/>
          <w:szCs w:val="24"/>
        </w:rPr>
        <w:t>semestrul I 2023</w:t>
      </w:r>
    </w:p>
    <w:p w:rsidR="00871D27" w:rsidRPr="00793447" w:rsidRDefault="00871D27" w:rsidP="00871D27">
      <w:pPr>
        <w:autoSpaceDE w:val="0"/>
        <w:autoSpaceDN w:val="0"/>
        <w:adjustRightInd w:val="0"/>
        <w:spacing w:after="0" w:line="240" w:lineRule="auto"/>
        <w:ind w:firstLine="720"/>
        <w:jc w:val="both"/>
        <w:rPr>
          <w:rFonts w:asciiTheme="majorHAnsi" w:hAnsiTheme="majorHAnsi" w:cs="TimesNewRoman"/>
          <w:sz w:val="24"/>
          <w:szCs w:val="24"/>
        </w:rPr>
      </w:pPr>
    </w:p>
    <w:p w:rsidR="00871D27" w:rsidRPr="00793447" w:rsidRDefault="00871D27" w:rsidP="00871D27">
      <w:pPr>
        <w:autoSpaceDE w:val="0"/>
        <w:autoSpaceDN w:val="0"/>
        <w:adjustRightInd w:val="0"/>
        <w:spacing w:after="0" w:line="240" w:lineRule="auto"/>
        <w:ind w:right="708" w:firstLine="720"/>
        <w:jc w:val="right"/>
        <w:rPr>
          <w:rFonts w:asciiTheme="majorHAnsi" w:hAnsiTheme="majorHAnsi"/>
          <w:sz w:val="24"/>
          <w:szCs w:val="24"/>
        </w:rPr>
      </w:pPr>
      <w:r w:rsidRPr="00793447">
        <w:rPr>
          <w:rFonts w:asciiTheme="majorHAnsi" w:hAnsiTheme="majorHAnsi"/>
          <w:sz w:val="24"/>
          <w:szCs w:val="24"/>
        </w:rPr>
        <w:t>-număr-</w:t>
      </w:r>
    </w:p>
    <w:tbl>
      <w:tblPr>
        <w:tblW w:w="0" w:type="auto"/>
        <w:tblInd w:w="534" w:type="dxa"/>
        <w:tblLook w:val="04A0" w:firstRow="1" w:lastRow="0" w:firstColumn="1" w:lastColumn="0" w:noHBand="0" w:noVBand="1"/>
      </w:tblPr>
      <w:tblGrid>
        <w:gridCol w:w="2126"/>
        <w:gridCol w:w="2267"/>
        <w:gridCol w:w="2464"/>
        <w:gridCol w:w="2073"/>
      </w:tblGrid>
      <w:tr w:rsidR="00871D27" w:rsidRPr="00793447" w:rsidTr="00AA0357">
        <w:tc>
          <w:tcPr>
            <w:tcW w:w="2126" w:type="dxa"/>
            <w:vMerge w:val="restart"/>
            <w:tcBorders>
              <w:top w:val="single" w:sz="4" w:space="0" w:color="auto"/>
              <w:bottom w:val="single" w:sz="4" w:space="0" w:color="auto"/>
            </w:tcBorders>
            <w:shd w:val="clear" w:color="auto" w:fill="auto"/>
          </w:tcPr>
          <w:p w:rsidR="00871D27" w:rsidRPr="00793447" w:rsidRDefault="00871D27" w:rsidP="00AA0357">
            <w:pPr>
              <w:autoSpaceDE w:val="0"/>
              <w:autoSpaceDN w:val="0"/>
              <w:adjustRightInd w:val="0"/>
              <w:spacing w:after="0" w:line="240" w:lineRule="auto"/>
              <w:jc w:val="both"/>
              <w:rPr>
                <w:rFonts w:asciiTheme="majorHAnsi" w:hAnsiTheme="majorHAnsi"/>
                <w:b/>
                <w:bCs/>
                <w:sz w:val="24"/>
                <w:szCs w:val="24"/>
              </w:rPr>
            </w:pPr>
          </w:p>
        </w:tc>
        <w:tc>
          <w:tcPr>
            <w:tcW w:w="2267" w:type="dxa"/>
            <w:vMerge w:val="restart"/>
            <w:tcBorders>
              <w:top w:val="single" w:sz="4" w:space="0" w:color="auto"/>
              <w:bottom w:val="single" w:sz="4" w:space="0" w:color="auto"/>
            </w:tcBorders>
            <w:shd w:val="clear" w:color="auto" w:fill="auto"/>
            <w:vAlign w:val="center"/>
          </w:tcPr>
          <w:p w:rsidR="00871D27" w:rsidRPr="00793447" w:rsidRDefault="00871D27" w:rsidP="00AA0357">
            <w:pPr>
              <w:autoSpaceDE w:val="0"/>
              <w:autoSpaceDN w:val="0"/>
              <w:adjustRightInd w:val="0"/>
              <w:spacing w:after="0" w:line="240" w:lineRule="auto"/>
              <w:jc w:val="center"/>
              <w:rPr>
                <w:rFonts w:asciiTheme="majorHAnsi" w:hAnsiTheme="majorHAnsi"/>
                <w:b/>
                <w:bCs/>
                <w:sz w:val="24"/>
                <w:szCs w:val="24"/>
              </w:rPr>
            </w:pPr>
            <w:r w:rsidRPr="00793447">
              <w:rPr>
                <w:rFonts w:asciiTheme="majorHAnsi" w:hAnsiTheme="majorHAnsi"/>
                <w:b/>
                <w:bCs/>
                <w:sz w:val="24"/>
                <w:szCs w:val="24"/>
              </w:rPr>
              <w:t>Locuințe terminate</w:t>
            </w:r>
          </w:p>
        </w:tc>
        <w:tc>
          <w:tcPr>
            <w:tcW w:w="4537" w:type="dxa"/>
            <w:gridSpan w:val="2"/>
            <w:tcBorders>
              <w:top w:val="single" w:sz="4" w:space="0" w:color="auto"/>
              <w:bottom w:val="single" w:sz="4" w:space="0" w:color="auto"/>
            </w:tcBorders>
            <w:shd w:val="clear" w:color="auto" w:fill="auto"/>
            <w:vAlign w:val="center"/>
          </w:tcPr>
          <w:p w:rsidR="00871D27" w:rsidRPr="00793447" w:rsidRDefault="00871D27" w:rsidP="00AA0357">
            <w:pPr>
              <w:autoSpaceDE w:val="0"/>
              <w:autoSpaceDN w:val="0"/>
              <w:adjustRightInd w:val="0"/>
              <w:spacing w:after="0" w:line="240" w:lineRule="auto"/>
              <w:jc w:val="center"/>
              <w:rPr>
                <w:rFonts w:asciiTheme="majorHAnsi" w:hAnsiTheme="majorHAnsi"/>
                <w:b/>
                <w:bCs/>
                <w:sz w:val="24"/>
                <w:szCs w:val="24"/>
              </w:rPr>
            </w:pPr>
            <w:r w:rsidRPr="00793447">
              <w:rPr>
                <w:rFonts w:asciiTheme="majorHAnsi" w:hAnsiTheme="majorHAnsi"/>
                <w:b/>
                <w:bCs/>
                <w:sz w:val="24"/>
                <w:szCs w:val="24"/>
              </w:rPr>
              <w:t>din total:</w:t>
            </w:r>
          </w:p>
        </w:tc>
      </w:tr>
      <w:tr w:rsidR="00871D27" w:rsidRPr="00793447" w:rsidTr="00AA0357">
        <w:tc>
          <w:tcPr>
            <w:tcW w:w="2126" w:type="dxa"/>
            <w:vMerge/>
            <w:tcBorders>
              <w:top w:val="single" w:sz="4" w:space="0" w:color="auto"/>
              <w:bottom w:val="single" w:sz="4" w:space="0" w:color="auto"/>
            </w:tcBorders>
            <w:shd w:val="clear" w:color="auto" w:fill="auto"/>
          </w:tcPr>
          <w:p w:rsidR="00871D27" w:rsidRPr="00793447" w:rsidRDefault="00871D27" w:rsidP="00AA0357">
            <w:pPr>
              <w:autoSpaceDE w:val="0"/>
              <w:autoSpaceDN w:val="0"/>
              <w:adjustRightInd w:val="0"/>
              <w:spacing w:after="0" w:line="240" w:lineRule="auto"/>
              <w:jc w:val="both"/>
              <w:rPr>
                <w:rFonts w:asciiTheme="majorHAnsi" w:hAnsiTheme="majorHAnsi"/>
                <w:sz w:val="24"/>
                <w:szCs w:val="24"/>
              </w:rPr>
            </w:pPr>
          </w:p>
        </w:tc>
        <w:tc>
          <w:tcPr>
            <w:tcW w:w="2267" w:type="dxa"/>
            <w:vMerge/>
            <w:tcBorders>
              <w:top w:val="single" w:sz="4" w:space="0" w:color="auto"/>
              <w:bottom w:val="single" w:sz="4" w:space="0" w:color="auto"/>
            </w:tcBorders>
            <w:shd w:val="clear" w:color="auto" w:fill="auto"/>
            <w:vAlign w:val="center"/>
          </w:tcPr>
          <w:p w:rsidR="00871D27" w:rsidRPr="00793447" w:rsidRDefault="00871D27" w:rsidP="00AA0357">
            <w:pPr>
              <w:autoSpaceDE w:val="0"/>
              <w:autoSpaceDN w:val="0"/>
              <w:adjustRightInd w:val="0"/>
              <w:spacing w:after="0" w:line="240" w:lineRule="auto"/>
              <w:jc w:val="center"/>
              <w:rPr>
                <w:rFonts w:asciiTheme="majorHAnsi" w:hAnsiTheme="majorHAnsi"/>
                <w:sz w:val="24"/>
                <w:szCs w:val="24"/>
              </w:rPr>
            </w:pPr>
          </w:p>
        </w:tc>
        <w:tc>
          <w:tcPr>
            <w:tcW w:w="2464" w:type="dxa"/>
            <w:tcBorders>
              <w:top w:val="single" w:sz="4" w:space="0" w:color="auto"/>
              <w:bottom w:val="single" w:sz="4" w:space="0" w:color="auto"/>
            </w:tcBorders>
            <w:shd w:val="clear" w:color="auto" w:fill="auto"/>
            <w:vAlign w:val="center"/>
          </w:tcPr>
          <w:p w:rsidR="00871D27" w:rsidRPr="00793447" w:rsidRDefault="00871D27" w:rsidP="00AA0357">
            <w:pPr>
              <w:autoSpaceDE w:val="0"/>
              <w:autoSpaceDN w:val="0"/>
              <w:adjustRightInd w:val="0"/>
              <w:spacing w:after="0" w:line="240" w:lineRule="auto"/>
              <w:jc w:val="center"/>
              <w:rPr>
                <w:rFonts w:asciiTheme="majorHAnsi" w:hAnsiTheme="majorHAnsi"/>
                <w:sz w:val="24"/>
                <w:szCs w:val="24"/>
              </w:rPr>
            </w:pPr>
            <w:r w:rsidRPr="00793447">
              <w:rPr>
                <w:rFonts w:asciiTheme="majorHAnsi" w:hAnsiTheme="majorHAnsi"/>
                <w:sz w:val="24"/>
                <w:szCs w:val="24"/>
              </w:rPr>
              <w:t>Urban</w:t>
            </w:r>
          </w:p>
        </w:tc>
        <w:tc>
          <w:tcPr>
            <w:tcW w:w="2073" w:type="dxa"/>
            <w:tcBorders>
              <w:top w:val="single" w:sz="4" w:space="0" w:color="auto"/>
              <w:bottom w:val="single" w:sz="4" w:space="0" w:color="auto"/>
            </w:tcBorders>
            <w:shd w:val="clear" w:color="auto" w:fill="auto"/>
            <w:vAlign w:val="center"/>
          </w:tcPr>
          <w:p w:rsidR="00871D27" w:rsidRPr="00793447" w:rsidRDefault="00871D27" w:rsidP="00AA0357">
            <w:pPr>
              <w:autoSpaceDE w:val="0"/>
              <w:autoSpaceDN w:val="0"/>
              <w:adjustRightInd w:val="0"/>
              <w:spacing w:after="0" w:line="240" w:lineRule="auto"/>
              <w:jc w:val="center"/>
              <w:rPr>
                <w:rFonts w:asciiTheme="majorHAnsi" w:hAnsiTheme="majorHAnsi"/>
                <w:sz w:val="24"/>
                <w:szCs w:val="24"/>
              </w:rPr>
            </w:pPr>
            <w:r w:rsidRPr="00793447">
              <w:rPr>
                <w:rFonts w:asciiTheme="majorHAnsi" w:hAnsiTheme="majorHAnsi"/>
                <w:sz w:val="24"/>
                <w:szCs w:val="24"/>
              </w:rPr>
              <w:t>Rural</w:t>
            </w:r>
          </w:p>
        </w:tc>
      </w:tr>
      <w:tr w:rsidR="00871D27" w:rsidRPr="00793447" w:rsidTr="00AA0357">
        <w:tc>
          <w:tcPr>
            <w:tcW w:w="2126" w:type="dxa"/>
            <w:tcBorders>
              <w:top w:val="single" w:sz="4" w:space="0" w:color="auto"/>
            </w:tcBorders>
            <w:shd w:val="clear" w:color="auto" w:fill="auto"/>
          </w:tcPr>
          <w:p w:rsidR="00871D27" w:rsidRPr="00793447" w:rsidRDefault="00871D27" w:rsidP="00AA0357">
            <w:pPr>
              <w:autoSpaceDE w:val="0"/>
              <w:autoSpaceDN w:val="0"/>
              <w:adjustRightInd w:val="0"/>
              <w:spacing w:after="0" w:line="240" w:lineRule="auto"/>
              <w:jc w:val="both"/>
              <w:rPr>
                <w:rFonts w:asciiTheme="majorHAnsi" w:hAnsiTheme="majorHAnsi"/>
                <w:b/>
                <w:sz w:val="24"/>
                <w:szCs w:val="24"/>
              </w:rPr>
            </w:pPr>
            <w:r w:rsidRPr="00793447">
              <w:rPr>
                <w:rFonts w:asciiTheme="majorHAnsi" w:hAnsiTheme="majorHAnsi"/>
                <w:b/>
                <w:sz w:val="24"/>
                <w:szCs w:val="24"/>
              </w:rPr>
              <w:t>TOTAL</w:t>
            </w:r>
          </w:p>
        </w:tc>
        <w:tc>
          <w:tcPr>
            <w:tcW w:w="2267" w:type="dxa"/>
            <w:tcBorders>
              <w:top w:val="single" w:sz="4" w:space="0" w:color="auto"/>
            </w:tcBorders>
            <w:shd w:val="clear" w:color="auto" w:fill="auto"/>
          </w:tcPr>
          <w:p w:rsidR="00871D27" w:rsidRPr="00793447" w:rsidRDefault="00871D27" w:rsidP="00AA0357">
            <w:pPr>
              <w:autoSpaceDE w:val="0"/>
              <w:autoSpaceDN w:val="0"/>
              <w:adjustRightInd w:val="0"/>
              <w:spacing w:after="0" w:line="240" w:lineRule="auto"/>
              <w:ind w:right="883"/>
              <w:jc w:val="right"/>
              <w:rPr>
                <w:rFonts w:asciiTheme="majorHAnsi" w:hAnsiTheme="majorHAnsi"/>
                <w:b/>
                <w:sz w:val="24"/>
                <w:szCs w:val="24"/>
              </w:rPr>
            </w:pPr>
            <w:r w:rsidRPr="00793447">
              <w:rPr>
                <w:rFonts w:asciiTheme="majorHAnsi" w:hAnsiTheme="majorHAnsi"/>
                <w:b/>
                <w:sz w:val="24"/>
                <w:szCs w:val="24"/>
              </w:rPr>
              <w:t>514</w:t>
            </w:r>
          </w:p>
        </w:tc>
        <w:tc>
          <w:tcPr>
            <w:tcW w:w="2464" w:type="dxa"/>
            <w:tcBorders>
              <w:top w:val="single" w:sz="4" w:space="0" w:color="auto"/>
            </w:tcBorders>
            <w:shd w:val="clear" w:color="auto" w:fill="auto"/>
          </w:tcPr>
          <w:p w:rsidR="00871D27" w:rsidRPr="00793447" w:rsidRDefault="00871D27" w:rsidP="00AA0357">
            <w:pPr>
              <w:autoSpaceDE w:val="0"/>
              <w:autoSpaceDN w:val="0"/>
              <w:adjustRightInd w:val="0"/>
              <w:spacing w:after="0" w:line="240" w:lineRule="auto"/>
              <w:ind w:right="654"/>
              <w:jc w:val="right"/>
              <w:rPr>
                <w:rFonts w:asciiTheme="majorHAnsi" w:hAnsiTheme="majorHAnsi"/>
                <w:b/>
                <w:sz w:val="24"/>
                <w:szCs w:val="24"/>
              </w:rPr>
            </w:pPr>
            <w:r w:rsidRPr="00793447">
              <w:rPr>
                <w:rFonts w:asciiTheme="majorHAnsi" w:hAnsiTheme="majorHAnsi"/>
                <w:b/>
                <w:sz w:val="24"/>
                <w:szCs w:val="24"/>
              </w:rPr>
              <w:t>118</w:t>
            </w:r>
          </w:p>
        </w:tc>
        <w:tc>
          <w:tcPr>
            <w:tcW w:w="2073" w:type="dxa"/>
            <w:tcBorders>
              <w:top w:val="single" w:sz="4" w:space="0" w:color="auto"/>
            </w:tcBorders>
            <w:shd w:val="clear" w:color="auto" w:fill="auto"/>
          </w:tcPr>
          <w:p w:rsidR="00871D27" w:rsidRPr="00793447" w:rsidRDefault="00871D27" w:rsidP="00AA0357">
            <w:pPr>
              <w:autoSpaceDE w:val="0"/>
              <w:autoSpaceDN w:val="0"/>
              <w:adjustRightInd w:val="0"/>
              <w:spacing w:after="0" w:line="240" w:lineRule="auto"/>
              <w:ind w:right="708"/>
              <w:jc w:val="right"/>
              <w:rPr>
                <w:rFonts w:asciiTheme="majorHAnsi" w:hAnsiTheme="majorHAnsi"/>
                <w:b/>
                <w:sz w:val="24"/>
                <w:szCs w:val="24"/>
              </w:rPr>
            </w:pPr>
            <w:r w:rsidRPr="00793447">
              <w:rPr>
                <w:rFonts w:asciiTheme="majorHAnsi" w:hAnsiTheme="majorHAnsi"/>
                <w:b/>
                <w:sz w:val="24"/>
                <w:szCs w:val="24"/>
              </w:rPr>
              <w:t>396</w:t>
            </w:r>
          </w:p>
        </w:tc>
      </w:tr>
      <w:tr w:rsidR="00871D27" w:rsidRPr="00793447" w:rsidTr="00AA0357">
        <w:tc>
          <w:tcPr>
            <w:tcW w:w="2126" w:type="dxa"/>
            <w:shd w:val="clear" w:color="auto" w:fill="auto"/>
          </w:tcPr>
          <w:p w:rsidR="00871D27" w:rsidRPr="00793447" w:rsidRDefault="00871D27" w:rsidP="00AA0357">
            <w:pPr>
              <w:autoSpaceDE w:val="0"/>
              <w:autoSpaceDN w:val="0"/>
              <w:adjustRightInd w:val="0"/>
              <w:spacing w:after="0" w:line="240" w:lineRule="auto"/>
              <w:jc w:val="both"/>
              <w:rPr>
                <w:rFonts w:asciiTheme="majorHAnsi" w:hAnsiTheme="majorHAnsi"/>
                <w:sz w:val="24"/>
                <w:szCs w:val="24"/>
              </w:rPr>
            </w:pPr>
            <w:r w:rsidRPr="00793447">
              <w:rPr>
                <w:rFonts w:asciiTheme="majorHAnsi" w:hAnsiTheme="majorHAnsi"/>
                <w:sz w:val="24"/>
                <w:szCs w:val="24"/>
              </w:rPr>
              <w:t>Parter</w:t>
            </w:r>
          </w:p>
        </w:tc>
        <w:tc>
          <w:tcPr>
            <w:tcW w:w="2267" w:type="dxa"/>
            <w:shd w:val="clear" w:color="auto" w:fill="auto"/>
          </w:tcPr>
          <w:p w:rsidR="00871D27" w:rsidRPr="00793447" w:rsidRDefault="00871D27" w:rsidP="00AA0357">
            <w:pPr>
              <w:autoSpaceDE w:val="0"/>
              <w:autoSpaceDN w:val="0"/>
              <w:adjustRightInd w:val="0"/>
              <w:spacing w:after="0" w:line="240" w:lineRule="auto"/>
              <w:ind w:right="883"/>
              <w:jc w:val="right"/>
              <w:rPr>
                <w:rFonts w:asciiTheme="majorHAnsi" w:hAnsiTheme="majorHAnsi"/>
                <w:sz w:val="24"/>
                <w:szCs w:val="24"/>
              </w:rPr>
            </w:pPr>
            <w:r w:rsidRPr="00793447">
              <w:rPr>
                <w:rFonts w:asciiTheme="majorHAnsi" w:hAnsiTheme="majorHAnsi"/>
                <w:sz w:val="24"/>
                <w:szCs w:val="24"/>
              </w:rPr>
              <w:t>138</w:t>
            </w:r>
          </w:p>
        </w:tc>
        <w:tc>
          <w:tcPr>
            <w:tcW w:w="2464" w:type="dxa"/>
            <w:shd w:val="clear" w:color="auto" w:fill="auto"/>
          </w:tcPr>
          <w:p w:rsidR="00871D27" w:rsidRPr="00793447" w:rsidRDefault="00871D27" w:rsidP="00AA0357">
            <w:pPr>
              <w:autoSpaceDE w:val="0"/>
              <w:autoSpaceDN w:val="0"/>
              <w:adjustRightInd w:val="0"/>
              <w:spacing w:after="0" w:line="240" w:lineRule="auto"/>
              <w:ind w:right="654"/>
              <w:jc w:val="right"/>
              <w:rPr>
                <w:rFonts w:asciiTheme="majorHAnsi" w:hAnsiTheme="majorHAnsi"/>
                <w:sz w:val="24"/>
                <w:szCs w:val="24"/>
              </w:rPr>
            </w:pPr>
            <w:r w:rsidRPr="00793447">
              <w:rPr>
                <w:rFonts w:asciiTheme="majorHAnsi" w:hAnsiTheme="majorHAnsi"/>
                <w:sz w:val="24"/>
                <w:szCs w:val="24"/>
              </w:rPr>
              <w:t>25</w:t>
            </w:r>
          </w:p>
        </w:tc>
        <w:tc>
          <w:tcPr>
            <w:tcW w:w="2073" w:type="dxa"/>
            <w:shd w:val="clear" w:color="auto" w:fill="auto"/>
          </w:tcPr>
          <w:p w:rsidR="00871D27" w:rsidRPr="00793447" w:rsidRDefault="00871D27" w:rsidP="00AA0357">
            <w:pPr>
              <w:autoSpaceDE w:val="0"/>
              <w:autoSpaceDN w:val="0"/>
              <w:adjustRightInd w:val="0"/>
              <w:spacing w:after="0" w:line="240" w:lineRule="auto"/>
              <w:ind w:right="708"/>
              <w:jc w:val="right"/>
              <w:rPr>
                <w:rFonts w:asciiTheme="majorHAnsi" w:hAnsiTheme="majorHAnsi"/>
                <w:sz w:val="24"/>
                <w:szCs w:val="24"/>
              </w:rPr>
            </w:pPr>
            <w:r w:rsidRPr="00793447">
              <w:rPr>
                <w:rFonts w:asciiTheme="majorHAnsi" w:hAnsiTheme="majorHAnsi"/>
                <w:sz w:val="24"/>
                <w:szCs w:val="24"/>
              </w:rPr>
              <w:t>113</w:t>
            </w:r>
          </w:p>
        </w:tc>
      </w:tr>
      <w:tr w:rsidR="00871D27" w:rsidRPr="00793447" w:rsidTr="00AA0357">
        <w:tc>
          <w:tcPr>
            <w:tcW w:w="2126" w:type="dxa"/>
            <w:shd w:val="clear" w:color="auto" w:fill="auto"/>
          </w:tcPr>
          <w:p w:rsidR="00871D27" w:rsidRPr="00793447" w:rsidRDefault="00871D27" w:rsidP="00AA0357">
            <w:pPr>
              <w:autoSpaceDE w:val="0"/>
              <w:autoSpaceDN w:val="0"/>
              <w:adjustRightInd w:val="0"/>
              <w:spacing w:after="0" w:line="240" w:lineRule="auto"/>
              <w:jc w:val="both"/>
              <w:rPr>
                <w:rFonts w:asciiTheme="majorHAnsi" w:hAnsiTheme="majorHAnsi"/>
                <w:sz w:val="24"/>
                <w:szCs w:val="24"/>
              </w:rPr>
            </w:pPr>
            <w:r w:rsidRPr="00793447">
              <w:rPr>
                <w:rFonts w:asciiTheme="majorHAnsi" w:hAnsiTheme="majorHAnsi"/>
                <w:sz w:val="24"/>
                <w:szCs w:val="24"/>
              </w:rPr>
              <w:t>Parter +1</w:t>
            </w:r>
          </w:p>
        </w:tc>
        <w:tc>
          <w:tcPr>
            <w:tcW w:w="2267" w:type="dxa"/>
            <w:shd w:val="clear" w:color="auto" w:fill="auto"/>
          </w:tcPr>
          <w:p w:rsidR="00871D27" w:rsidRPr="00793447" w:rsidRDefault="00871D27" w:rsidP="00AA0357">
            <w:pPr>
              <w:autoSpaceDE w:val="0"/>
              <w:autoSpaceDN w:val="0"/>
              <w:adjustRightInd w:val="0"/>
              <w:spacing w:after="0" w:line="240" w:lineRule="auto"/>
              <w:ind w:right="883"/>
              <w:jc w:val="right"/>
              <w:rPr>
                <w:rFonts w:asciiTheme="majorHAnsi" w:hAnsiTheme="majorHAnsi"/>
                <w:sz w:val="24"/>
                <w:szCs w:val="24"/>
              </w:rPr>
            </w:pPr>
            <w:r w:rsidRPr="00793447">
              <w:rPr>
                <w:rFonts w:asciiTheme="majorHAnsi" w:hAnsiTheme="majorHAnsi"/>
                <w:sz w:val="24"/>
                <w:szCs w:val="24"/>
              </w:rPr>
              <w:t>330</w:t>
            </w:r>
          </w:p>
        </w:tc>
        <w:tc>
          <w:tcPr>
            <w:tcW w:w="2464" w:type="dxa"/>
            <w:shd w:val="clear" w:color="auto" w:fill="auto"/>
          </w:tcPr>
          <w:p w:rsidR="00871D27" w:rsidRPr="00793447" w:rsidRDefault="00871D27" w:rsidP="00AA0357">
            <w:pPr>
              <w:autoSpaceDE w:val="0"/>
              <w:autoSpaceDN w:val="0"/>
              <w:adjustRightInd w:val="0"/>
              <w:spacing w:after="0" w:line="240" w:lineRule="auto"/>
              <w:ind w:right="654"/>
              <w:jc w:val="right"/>
              <w:rPr>
                <w:rFonts w:asciiTheme="majorHAnsi" w:hAnsiTheme="majorHAnsi"/>
                <w:sz w:val="24"/>
                <w:szCs w:val="24"/>
              </w:rPr>
            </w:pPr>
            <w:r w:rsidRPr="00793447">
              <w:rPr>
                <w:rFonts w:asciiTheme="majorHAnsi" w:hAnsiTheme="majorHAnsi"/>
                <w:sz w:val="24"/>
                <w:szCs w:val="24"/>
              </w:rPr>
              <w:t>78</w:t>
            </w:r>
          </w:p>
        </w:tc>
        <w:tc>
          <w:tcPr>
            <w:tcW w:w="2073" w:type="dxa"/>
            <w:shd w:val="clear" w:color="auto" w:fill="auto"/>
          </w:tcPr>
          <w:p w:rsidR="00871D27" w:rsidRPr="00793447" w:rsidRDefault="00871D27" w:rsidP="00AA0357">
            <w:pPr>
              <w:autoSpaceDE w:val="0"/>
              <w:autoSpaceDN w:val="0"/>
              <w:adjustRightInd w:val="0"/>
              <w:spacing w:after="0" w:line="240" w:lineRule="auto"/>
              <w:ind w:right="708"/>
              <w:jc w:val="right"/>
              <w:rPr>
                <w:rFonts w:asciiTheme="majorHAnsi" w:hAnsiTheme="majorHAnsi"/>
                <w:sz w:val="24"/>
                <w:szCs w:val="24"/>
              </w:rPr>
            </w:pPr>
            <w:r w:rsidRPr="00793447">
              <w:rPr>
                <w:rFonts w:asciiTheme="majorHAnsi" w:hAnsiTheme="majorHAnsi"/>
                <w:sz w:val="24"/>
                <w:szCs w:val="24"/>
              </w:rPr>
              <w:t>252</w:t>
            </w:r>
          </w:p>
        </w:tc>
      </w:tr>
      <w:tr w:rsidR="00871D27" w:rsidRPr="00793447" w:rsidTr="00AA0357">
        <w:tc>
          <w:tcPr>
            <w:tcW w:w="2126" w:type="dxa"/>
            <w:tcBorders>
              <w:bottom w:val="single" w:sz="4" w:space="0" w:color="auto"/>
            </w:tcBorders>
            <w:shd w:val="clear" w:color="auto" w:fill="auto"/>
          </w:tcPr>
          <w:p w:rsidR="00871D27" w:rsidRPr="00793447" w:rsidRDefault="00871D27" w:rsidP="00AA0357">
            <w:pPr>
              <w:autoSpaceDE w:val="0"/>
              <w:autoSpaceDN w:val="0"/>
              <w:adjustRightInd w:val="0"/>
              <w:spacing w:after="0" w:line="240" w:lineRule="auto"/>
              <w:rPr>
                <w:rFonts w:asciiTheme="majorHAnsi" w:hAnsiTheme="majorHAnsi"/>
                <w:sz w:val="24"/>
                <w:szCs w:val="24"/>
              </w:rPr>
            </w:pPr>
            <w:r w:rsidRPr="00793447">
              <w:rPr>
                <w:rFonts w:asciiTheme="majorHAnsi" w:hAnsiTheme="majorHAnsi"/>
                <w:sz w:val="24"/>
                <w:szCs w:val="24"/>
              </w:rPr>
              <w:t>Parter +2 și peste</w:t>
            </w:r>
          </w:p>
        </w:tc>
        <w:tc>
          <w:tcPr>
            <w:tcW w:w="2267" w:type="dxa"/>
            <w:tcBorders>
              <w:bottom w:val="single" w:sz="4" w:space="0" w:color="auto"/>
            </w:tcBorders>
            <w:shd w:val="clear" w:color="auto" w:fill="auto"/>
          </w:tcPr>
          <w:p w:rsidR="00871D27" w:rsidRPr="00793447" w:rsidRDefault="00871D27" w:rsidP="00AA0357">
            <w:pPr>
              <w:autoSpaceDE w:val="0"/>
              <w:autoSpaceDN w:val="0"/>
              <w:adjustRightInd w:val="0"/>
              <w:spacing w:after="0" w:line="240" w:lineRule="auto"/>
              <w:ind w:right="883"/>
              <w:jc w:val="right"/>
              <w:rPr>
                <w:rFonts w:asciiTheme="majorHAnsi" w:hAnsiTheme="majorHAnsi"/>
                <w:sz w:val="24"/>
                <w:szCs w:val="24"/>
              </w:rPr>
            </w:pPr>
            <w:r w:rsidRPr="00793447">
              <w:rPr>
                <w:rFonts w:asciiTheme="majorHAnsi" w:hAnsiTheme="majorHAnsi"/>
                <w:sz w:val="24"/>
                <w:szCs w:val="24"/>
              </w:rPr>
              <w:t>46</w:t>
            </w:r>
          </w:p>
        </w:tc>
        <w:tc>
          <w:tcPr>
            <w:tcW w:w="2464" w:type="dxa"/>
            <w:tcBorders>
              <w:bottom w:val="single" w:sz="4" w:space="0" w:color="auto"/>
            </w:tcBorders>
            <w:shd w:val="clear" w:color="auto" w:fill="auto"/>
          </w:tcPr>
          <w:p w:rsidR="00871D27" w:rsidRPr="00793447" w:rsidRDefault="00871D27" w:rsidP="00AA0357">
            <w:pPr>
              <w:autoSpaceDE w:val="0"/>
              <w:autoSpaceDN w:val="0"/>
              <w:adjustRightInd w:val="0"/>
              <w:spacing w:after="0" w:line="240" w:lineRule="auto"/>
              <w:ind w:right="654"/>
              <w:jc w:val="right"/>
              <w:rPr>
                <w:rFonts w:asciiTheme="majorHAnsi" w:hAnsiTheme="majorHAnsi"/>
                <w:sz w:val="24"/>
                <w:szCs w:val="24"/>
              </w:rPr>
            </w:pPr>
            <w:r w:rsidRPr="00793447">
              <w:rPr>
                <w:rFonts w:asciiTheme="majorHAnsi" w:hAnsiTheme="majorHAnsi"/>
                <w:sz w:val="24"/>
                <w:szCs w:val="24"/>
              </w:rPr>
              <w:t>15</w:t>
            </w:r>
          </w:p>
        </w:tc>
        <w:tc>
          <w:tcPr>
            <w:tcW w:w="2073" w:type="dxa"/>
            <w:tcBorders>
              <w:bottom w:val="single" w:sz="4" w:space="0" w:color="auto"/>
            </w:tcBorders>
            <w:shd w:val="clear" w:color="auto" w:fill="auto"/>
          </w:tcPr>
          <w:p w:rsidR="00871D27" w:rsidRPr="00793447" w:rsidRDefault="00871D27" w:rsidP="00AA0357">
            <w:pPr>
              <w:autoSpaceDE w:val="0"/>
              <w:autoSpaceDN w:val="0"/>
              <w:adjustRightInd w:val="0"/>
              <w:spacing w:after="0" w:line="240" w:lineRule="auto"/>
              <w:ind w:right="708"/>
              <w:jc w:val="right"/>
              <w:rPr>
                <w:rFonts w:asciiTheme="majorHAnsi" w:hAnsiTheme="majorHAnsi"/>
                <w:sz w:val="24"/>
                <w:szCs w:val="24"/>
              </w:rPr>
            </w:pPr>
            <w:r w:rsidRPr="00793447">
              <w:rPr>
                <w:rFonts w:asciiTheme="majorHAnsi" w:hAnsiTheme="majorHAnsi"/>
                <w:sz w:val="24"/>
                <w:szCs w:val="24"/>
              </w:rPr>
              <w:t>31</w:t>
            </w:r>
          </w:p>
        </w:tc>
      </w:tr>
    </w:tbl>
    <w:p w:rsidR="00871D27" w:rsidRPr="00793447" w:rsidRDefault="00871D27" w:rsidP="00871D27">
      <w:pPr>
        <w:autoSpaceDE w:val="0"/>
        <w:autoSpaceDN w:val="0"/>
        <w:adjustRightInd w:val="0"/>
        <w:spacing w:after="0" w:line="240" w:lineRule="auto"/>
        <w:jc w:val="both"/>
        <w:rPr>
          <w:rFonts w:asciiTheme="majorHAnsi" w:hAnsiTheme="majorHAnsi"/>
          <w:sz w:val="24"/>
          <w:szCs w:val="24"/>
        </w:rPr>
      </w:pPr>
    </w:p>
    <w:p w:rsidR="00871D27" w:rsidRPr="00793447" w:rsidRDefault="00871D27" w:rsidP="00871D27">
      <w:pPr>
        <w:autoSpaceDE w:val="0"/>
        <w:autoSpaceDN w:val="0"/>
        <w:adjustRightInd w:val="0"/>
        <w:spacing w:after="0" w:line="240" w:lineRule="auto"/>
        <w:ind w:firstLine="720"/>
        <w:jc w:val="both"/>
        <w:rPr>
          <w:rFonts w:asciiTheme="majorHAnsi" w:hAnsiTheme="majorHAnsi"/>
          <w:sz w:val="24"/>
          <w:szCs w:val="24"/>
        </w:rPr>
      </w:pPr>
      <w:r w:rsidRPr="00793447">
        <w:rPr>
          <w:rFonts w:asciiTheme="majorHAnsi" w:hAnsiTheme="majorHAnsi"/>
          <w:sz w:val="24"/>
          <w:szCs w:val="24"/>
        </w:rPr>
        <w:t xml:space="preserve">Din totalul locuinţelor terminate în semestrul I 2023, după numărul de niveluri al clădirilor, 64,2% sunt situate în clădiri cu parter plus un etaj. </w:t>
      </w:r>
    </w:p>
    <w:p w:rsidR="00871D27" w:rsidRPr="00793447" w:rsidRDefault="00871D27" w:rsidP="00871D27">
      <w:pPr>
        <w:autoSpaceDE w:val="0"/>
        <w:autoSpaceDN w:val="0"/>
        <w:adjustRightInd w:val="0"/>
        <w:spacing w:line="360" w:lineRule="auto"/>
        <w:ind w:firstLine="720"/>
        <w:jc w:val="both"/>
        <w:rPr>
          <w:rFonts w:asciiTheme="majorHAnsi" w:hAnsiTheme="majorHAnsi"/>
          <w:color w:val="FF0000"/>
          <w:sz w:val="24"/>
          <w:szCs w:val="24"/>
        </w:rPr>
      </w:pPr>
    </w:p>
    <w:p w:rsidR="00871D27" w:rsidRPr="00793447" w:rsidRDefault="00871D27" w:rsidP="00871D27">
      <w:pPr>
        <w:autoSpaceDE w:val="0"/>
        <w:autoSpaceDN w:val="0"/>
        <w:adjustRightInd w:val="0"/>
        <w:spacing w:after="0" w:line="240" w:lineRule="auto"/>
        <w:jc w:val="center"/>
        <w:rPr>
          <w:rFonts w:asciiTheme="majorHAnsi" w:hAnsiTheme="majorHAnsi"/>
          <w:b/>
          <w:bCs/>
          <w:sz w:val="24"/>
          <w:szCs w:val="24"/>
        </w:rPr>
      </w:pPr>
      <w:r w:rsidRPr="00793447">
        <w:rPr>
          <w:rFonts w:asciiTheme="majorHAnsi" w:hAnsiTheme="majorHAnsi"/>
          <w:b/>
          <w:bCs/>
          <w:sz w:val="24"/>
          <w:szCs w:val="24"/>
        </w:rPr>
        <w:t>Structura locuinţelor terminate, pe medii de rezidenţă,</w:t>
      </w:r>
    </w:p>
    <w:p w:rsidR="00871D27" w:rsidRPr="00793447" w:rsidRDefault="00871D27" w:rsidP="00871D27">
      <w:pPr>
        <w:autoSpaceDE w:val="0"/>
        <w:autoSpaceDN w:val="0"/>
        <w:adjustRightInd w:val="0"/>
        <w:spacing w:after="0" w:line="240" w:lineRule="auto"/>
        <w:jc w:val="center"/>
        <w:rPr>
          <w:rFonts w:asciiTheme="majorHAnsi" w:hAnsiTheme="majorHAnsi"/>
          <w:b/>
          <w:bCs/>
          <w:sz w:val="24"/>
          <w:szCs w:val="24"/>
        </w:rPr>
      </w:pPr>
      <w:r w:rsidRPr="00793447">
        <w:rPr>
          <w:rFonts w:asciiTheme="majorHAnsi" w:hAnsiTheme="majorHAnsi"/>
          <w:b/>
          <w:bCs/>
          <w:sz w:val="24"/>
          <w:szCs w:val="24"/>
        </w:rPr>
        <w:t xml:space="preserve">după numărul de niveluri al clădirilor, </w:t>
      </w:r>
      <w:r w:rsidRPr="00793447">
        <w:rPr>
          <w:rFonts w:asciiTheme="majorHAnsi" w:hAnsiTheme="majorHAnsi" w:cs="TimesNewRoman,Bold"/>
          <w:b/>
          <w:bCs/>
          <w:sz w:val="24"/>
          <w:szCs w:val="24"/>
        </w:rPr>
        <w:t xml:space="preserve">în </w:t>
      </w:r>
      <w:r w:rsidRPr="00793447">
        <w:rPr>
          <w:rFonts w:asciiTheme="majorHAnsi" w:hAnsiTheme="majorHAnsi"/>
          <w:b/>
          <w:sz w:val="24"/>
          <w:szCs w:val="24"/>
        </w:rPr>
        <w:t>semestrul I 202</w:t>
      </w:r>
      <w:r w:rsidR="00C26936" w:rsidRPr="00793447">
        <w:rPr>
          <w:rFonts w:asciiTheme="majorHAnsi" w:hAnsiTheme="majorHAnsi"/>
          <w:b/>
          <w:sz w:val="24"/>
          <w:szCs w:val="24"/>
        </w:rPr>
        <w:t>3</w:t>
      </w:r>
    </w:p>
    <w:p w:rsidR="00871D27" w:rsidRPr="00793447" w:rsidRDefault="00871D27" w:rsidP="00871D27">
      <w:pPr>
        <w:autoSpaceDE w:val="0"/>
        <w:autoSpaceDN w:val="0"/>
        <w:adjustRightInd w:val="0"/>
        <w:spacing w:line="360" w:lineRule="auto"/>
        <w:jc w:val="center"/>
        <w:rPr>
          <w:rFonts w:asciiTheme="majorHAnsi" w:hAnsiTheme="majorHAnsi"/>
          <w:color w:val="FF0000"/>
          <w:sz w:val="24"/>
          <w:szCs w:val="24"/>
        </w:rPr>
      </w:pPr>
    </w:p>
    <w:p w:rsidR="00871D27" w:rsidRPr="00793447" w:rsidRDefault="00871D27" w:rsidP="00871D27">
      <w:pPr>
        <w:autoSpaceDE w:val="0"/>
        <w:autoSpaceDN w:val="0"/>
        <w:adjustRightInd w:val="0"/>
        <w:spacing w:line="360" w:lineRule="auto"/>
        <w:jc w:val="center"/>
        <w:rPr>
          <w:rFonts w:asciiTheme="majorHAnsi" w:hAnsiTheme="majorHAnsi"/>
          <w:color w:val="FF0000"/>
          <w:sz w:val="24"/>
          <w:szCs w:val="24"/>
        </w:rPr>
      </w:pPr>
      <w:r w:rsidRPr="00793447">
        <w:rPr>
          <w:rFonts w:asciiTheme="majorHAnsi" w:hAnsiTheme="majorHAnsi"/>
          <w:noProof/>
          <w:color w:val="FF0000"/>
          <w:sz w:val="24"/>
          <w:szCs w:val="24"/>
        </w:rPr>
        <w:drawing>
          <wp:inline distT="0" distB="0" distL="0" distR="0" wp14:anchorId="7D204A31" wp14:editId="5ACB3CD9">
            <wp:extent cx="3878580" cy="2766060"/>
            <wp:effectExtent l="0" t="0" r="0" b="0"/>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71D27" w:rsidRPr="00793447" w:rsidRDefault="00871D27" w:rsidP="00871D27">
      <w:pPr>
        <w:autoSpaceDE w:val="0"/>
        <w:autoSpaceDN w:val="0"/>
        <w:adjustRightInd w:val="0"/>
        <w:spacing w:line="360" w:lineRule="auto"/>
        <w:ind w:firstLine="720"/>
        <w:jc w:val="both"/>
        <w:rPr>
          <w:rFonts w:asciiTheme="majorHAnsi" w:hAnsiTheme="majorHAnsi"/>
          <w:color w:val="FF0000"/>
          <w:sz w:val="24"/>
          <w:szCs w:val="24"/>
        </w:rPr>
      </w:pPr>
    </w:p>
    <w:p w:rsidR="00871D27" w:rsidRPr="00793447" w:rsidRDefault="00871D27" w:rsidP="00871D27">
      <w:pPr>
        <w:autoSpaceDE w:val="0"/>
        <w:autoSpaceDN w:val="0"/>
        <w:adjustRightInd w:val="0"/>
        <w:spacing w:after="0" w:line="240" w:lineRule="auto"/>
        <w:ind w:firstLine="720"/>
        <w:jc w:val="both"/>
        <w:rPr>
          <w:rFonts w:asciiTheme="majorHAnsi" w:hAnsiTheme="majorHAnsi"/>
          <w:sz w:val="24"/>
          <w:szCs w:val="24"/>
        </w:rPr>
      </w:pPr>
      <w:r w:rsidRPr="00793447">
        <w:rPr>
          <w:rFonts w:asciiTheme="majorHAnsi" w:hAnsiTheme="majorHAnsi"/>
          <w:sz w:val="24"/>
          <w:szCs w:val="24"/>
        </w:rPr>
        <w:t>Dezvoltarea fondului de locuinţe terminate se face preponderent pe verticală, prin cuprinderea de locuinţe noi situate în clădiri cu mai multe etaje.</w:t>
      </w:r>
    </w:p>
    <w:p w:rsidR="00871D27" w:rsidRPr="00793447" w:rsidRDefault="00871D27" w:rsidP="00871D27">
      <w:pPr>
        <w:autoSpaceDE w:val="0"/>
        <w:autoSpaceDN w:val="0"/>
        <w:adjustRightInd w:val="0"/>
        <w:spacing w:line="360" w:lineRule="auto"/>
        <w:ind w:firstLine="720"/>
        <w:jc w:val="both"/>
        <w:rPr>
          <w:rFonts w:asciiTheme="majorHAnsi" w:hAnsiTheme="majorHAnsi"/>
          <w:color w:val="FF0000"/>
          <w:sz w:val="24"/>
          <w:szCs w:val="24"/>
        </w:rPr>
        <w:sectPr w:rsidR="00871D27" w:rsidRPr="00793447" w:rsidSect="00EA7170">
          <w:footnotePr>
            <w:pos w:val="beneathText"/>
            <w:numFmt w:val="chicago"/>
          </w:footnotePr>
          <w:type w:val="continuous"/>
          <w:pgSz w:w="11907" w:h="16840" w:code="9"/>
          <w:pgMar w:top="1134" w:right="1134" w:bottom="1134" w:left="1134" w:header="567" w:footer="170" w:gutter="0"/>
          <w:pgNumType w:start="17"/>
          <w:cols w:space="708"/>
          <w:titlePg/>
          <w:docGrid w:linePitch="326"/>
        </w:sectPr>
      </w:pPr>
    </w:p>
    <w:p w:rsidR="00871D27" w:rsidRPr="00793447" w:rsidRDefault="00871D27" w:rsidP="00804050">
      <w:pPr>
        <w:rPr>
          <w:rFonts w:asciiTheme="majorHAnsi" w:hAnsiTheme="majorHAnsi" w:cs="Calibri"/>
          <w:color w:val="FF0000"/>
          <w:sz w:val="24"/>
          <w:szCs w:val="24"/>
          <w:lang w:val="ro-RO"/>
        </w:rPr>
      </w:pPr>
      <w:r w:rsidRPr="00793447">
        <w:rPr>
          <w:rFonts w:asciiTheme="majorHAnsi" w:hAnsiTheme="majorHAnsi"/>
          <w:noProof/>
          <w:color w:val="FF0000"/>
          <w:sz w:val="24"/>
          <w:szCs w:val="24"/>
        </w:rPr>
        <mc:AlternateContent>
          <mc:Choice Requires="wps">
            <w:drawing>
              <wp:anchor distT="0" distB="0" distL="114300" distR="114300" simplePos="0" relativeHeight="251672576" behindDoc="0" locked="0" layoutInCell="1" allowOverlap="1" wp14:anchorId="47E4364D" wp14:editId="1903F1EE">
                <wp:simplePos x="0" y="0"/>
                <wp:positionH relativeFrom="column">
                  <wp:posOffset>2057400</wp:posOffset>
                </wp:positionH>
                <wp:positionV relativeFrom="paragraph">
                  <wp:posOffset>1143000</wp:posOffset>
                </wp:positionV>
                <wp:extent cx="685800" cy="228600"/>
                <wp:effectExtent l="0" t="0" r="0" b="0"/>
                <wp:wrapNone/>
                <wp:docPr id="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447" w:rsidRPr="00225CA1" w:rsidRDefault="00793447" w:rsidP="00871D27">
                            <w:pPr>
                              <w:rPr>
                                <w:rFonts w:ascii="Arial Narrow" w:hAnsi="Arial Narrow"/>
                                <w:b/>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4364D" id="Text Box 347" o:spid="_x0000_s1045" type="#_x0000_t202" style="position:absolute;margin-left:162pt;margin-top:90pt;width:54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vquQIAAMI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" filled="f" stroked="f">
                <v:textbox>
                  <w:txbxContent>
                    <w:p w:rsidR="00793447" w:rsidRPr="00225CA1" w:rsidRDefault="00793447" w:rsidP="00871D27">
                      <w:pPr>
                        <w:rPr>
                          <w:rFonts w:ascii="Arial Narrow" w:hAnsi="Arial Narrow"/>
                          <w:b/>
                          <w:sz w:val="16"/>
                          <w:szCs w:val="16"/>
                          <w:lang w:val="ro-RO"/>
                        </w:rPr>
                      </w:pPr>
                    </w:p>
                  </w:txbxContent>
                </v:textbox>
              </v:shape>
            </w:pict>
          </mc:Fallback>
        </mc:AlternateContent>
      </w:r>
      <w:r w:rsidRPr="00793447">
        <w:rPr>
          <w:rFonts w:asciiTheme="majorHAnsi" w:hAnsiTheme="majorHAnsi"/>
          <w:noProof/>
          <w:color w:val="FF0000"/>
          <w:sz w:val="24"/>
          <w:szCs w:val="24"/>
        </w:rPr>
        <mc:AlternateContent>
          <mc:Choice Requires="wps">
            <w:drawing>
              <wp:anchor distT="0" distB="0" distL="114300" distR="114300" simplePos="0" relativeHeight="251673600" behindDoc="0" locked="0" layoutInCell="1" allowOverlap="1" wp14:anchorId="4764F5A7" wp14:editId="0730D85F">
                <wp:simplePos x="0" y="0"/>
                <wp:positionH relativeFrom="column">
                  <wp:posOffset>2514600</wp:posOffset>
                </wp:positionH>
                <wp:positionV relativeFrom="paragraph">
                  <wp:posOffset>2171700</wp:posOffset>
                </wp:positionV>
                <wp:extent cx="533400" cy="228600"/>
                <wp:effectExtent l="0" t="0" r="0" b="0"/>
                <wp:wrapNone/>
                <wp:docPr id="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447" w:rsidRPr="00225CA1" w:rsidRDefault="00793447" w:rsidP="00871D27">
                            <w:pPr>
                              <w:rPr>
                                <w:rFonts w:ascii="Arial Narrow" w:hAnsi="Arial Narrow"/>
                                <w:b/>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F5A7" id="Text Box 350" o:spid="_x0000_s1046" type="#_x0000_t202" style="position:absolute;margin-left:198pt;margin-top:171pt;width:42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Be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" filled="f" stroked="f">
                <v:textbox>
                  <w:txbxContent>
                    <w:p w:rsidR="00793447" w:rsidRPr="00225CA1" w:rsidRDefault="00793447" w:rsidP="00871D27">
                      <w:pPr>
                        <w:rPr>
                          <w:rFonts w:ascii="Arial Narrow" w:hAnsi="Arial Narrow"/>
                          <w:b/>
                          <w:sz w:val="16"/>
                          <w:szCs w:val="16"/>
                          <w:lang w:val="ro-RO"/>
                        </w:rPr>
                      </w:pPr>
                    </w:p>
                  </w:txbxContent>
                </v:textbox>
              </v:shape>
            </w:pict>
          </mc:Fallback>
        </mc:AlternateContent>
      </w:r>
    </w:p>
    <w:p w:rsidR="00871D27" w:rsidRPr="00793447" w:rsidRDefault="00871D27" w:rsidP="00871D27">
      <w:pPr>
        <w:autoSpaceDE w:val="0"/>
        <w:autoSpaceDN w:val="0"/>
        <w:adjustRightInd w:val="0"/>
        <w:spacing w:after="0" w:line="240" w:lineRule="auto"/>
        <w:jc w:val="both"/>
        <w:rPr>
          <w:rFonts w:asciiTheme="majorHAnsi" w:hAnsiTheme="majorHAnsi" w:cs="Calibri"/>
          <w:color w:val="FF0000"/>
          <w:sz w:val="24"/>
          <w:szCs w:val="24"/>
          <w:lang w:val="ro-RO"/>
        </w:rPr>
      </w:pPr>
    </w:p>
    <w:p w:rsidR="00871D27" w:rsidRPr="00793447" w:rsidRDefault="00871D27" w:rsidP="00871D27">
      <w:pPr>
        <w:autoSpaceDE w:val="0"/>
        <w:autoSpaceDN w:val="0"/>
        <w:adjustRightInd w:val="0"/>
        <w:spacing w:after="0" w:line="240" w:lineRule="auto"/>
        <w:jc w:val="both"/>
        <w:rPr>
          <w:rFonts w:asciiTheme="majorHAnsi" w:hAnsiTheme="majorHAnsi" w:cs="Calibri"/>
          <w:color w:val="FF0000"/>
          <w:sz w:val="24"/>
          <w:szCs w:val="24"/>
          <w:lang w:val="ro-RO"/>
        </w:rPr>
      </w:pPr>
    </w:p>
    <w:p w:rsidR="00871D27" w:rsidRPr="00793447" w:rsidRDefault="00871D27" w:rsidP="00871D27">
      <w:pPr>
        <w:autoSpaceDE w:val="0"/>
        <w:autoSpaceDN w:val="0"/>
        <w:adjustRightInd w:val="0"/>
        <w:spacing w:after="0" w:line="240" w:lineRule="auto"/>
        <w:jc w:val="both"/>
        <w:rPr>
          <w:rFonts w:asciiTheme="majorHAnsi" w:hAnsiTheme="majorHAnsi" w:cs="Calibri"/>
          <w:color w:val="FF0000"/>
          <w:sz w:val="24"/>
          <w:szCs w:val="24"/>
          <w:lang w:val="ro-RO"/>
        </w:rPr>
      </w:pPr>
    </w:p>
    <w:p w:rsidR="00871D27" w:rsidRPr="00793447" w:rsidRDefault="00871D27" w:rsidP="00871D27">
      <w:pPr>
        <w:autoSpaceDE w:val="0"/>
        <w:autoSpaceDN w:val="0"/>
        <w:adjustRightInd w:val="0"/>
        <w:spacing w:after="0" w:line="240" w:lineRule="auto"/>
        <w:jc w:val="both"/>
        <w:rPr>
          <w:rFonts w:asciiTheme="majorHAnsi" w:hAnsiTheme="majorHAnsi" w:cs="Calibri"/>
          <w:color w:val="FF0000"/>
          <w:sz w:val="24"/>
          <w:szCs w:val="24"/>
          <w:lang w:val="ro-RO"/>
        </w:rPr>
      </w:pPr>
    </w:p>
    <w:p w:rsidR="00871D27" w:rsidRPr="00793447" w:rsidRDefault="00871D27" w:rsidP="00871D27">
      <w:pPr>
        <w:autoSpaceDE w:val="0"/>
        <w:autoSpaceDN w:val="0"/>
        <w:adjustRightInd w:val="0"/>
        <w:spacing w:after="0" w:line="240" w:lineRule="auto"/>
        <w:jc w:val="both"/>
        <w:rPr>
          <w:rFonts w:asciiTheme="majorHAnsi" w:hAnsiTheme="majorHAnsi" w:cs="Calibri"/>
          <w:color w:val="FF0000"/>
          <w:sz w:val="24"/>
          <w:szCs w:val="24"/>
          <w:lang w:val="ro-RO"/>
        </w:rPr>
      </w:pPr>
    </w:p>
    <w:p w:rsidR="008B16A7" w:rsidRPr="00793447" w:rsidRDefault="008B16A7" w:rsidP="006A0308">
      <w:pPr>
        <w:autoSpaceDE w:val="0"/>
        <w:autoSpaceDN w:val="0"/>
        <w:adjustRightInd w:val="0"/>
        <w:spacing w:after="0" w:line="240" w:lineRule="auto"/>
        <w:jc w:val="both"/>
        <w:rPr>
          <w:rFonts w:asciiTheme="majorHAnsi" w:hAnsiTheme="majorHAnsi" w:cs="Calibri"/>
          <w:color w:val="FF0000"/>
          <w:sz w:val="24"/>
          <w:szCs w:val="24"/>
          <w:lang w:val="ro-RO"/>
        </w:rPr>
      </w:pPr>
    </w:p>
    <w:p w:rsidR="006A0308" w:rsidRDefault="009F6B3D" w:rsidP="009F6B3D">
      <w:pPr>
        <w:pStyle w:val="Heading1"/>
        <w:ind w:hanging="28"/>
        <w:rPr>
          <w:rFonts w:asciiTheme="majorHAnsi" w:hAnsiTheme="majorHAnsi"/>
          <w:caps/>
          <w:sz w:val="24"/>
          <w:szCs w:val="24"/>
        </w:rPr>
      </w:pPr>
      <w:r w:rsidRPr="00793447">
        <w:rPr>
          <w:rFonts w:asciiTheme="majorHAnsi" w:hAnsiTheme="majorHAnsi"/>
          <w:caps/>
          <w:sz w:val="24"/>
          <w:szCs w:val="24"/>
        </w:rPr>
        <w:t>Autorizații de construire eliberate pentru clădiri</w:t>
      </w:r>
      <w:r w:rsidR="004E2A70">
        <w:rPr>
          <w:rFonts w:asciiTheme="majorHAnsi" w:hAnsiTheme="majorHAnsi"/>
          <w:caps/>
          <w:sz w:val="24"/>
          <w:szCs w:val="24"/>
        </w:rPr>
        <w:t xml:space="preserve"> </w:t>
      </w:r>
      <w:r w:rsidR="00930B66">
        <w:rPr>
          <w:rFonts w:asciiTheme="majorHAnsi" w:hAnsiTheme="majorHAnsi"/>
          <w:caps/>
          <w:sz w:val="24"/>
          <w:szCs w:val="24"/>
        </w:rPr>
        <w:t xml:space="preserve">În </w:t>
      </w:r>
      <w:r w:rsidR="004E2A70">
        <w:rPr>
          <w:rFonts w:asciiTheme="majorHAnsi" w:hAnsiTheme="majorHAnsi"/>
          <w:caps/>
          <w:sz w:val="24"/>
          <w:szCs w:val="24"/>
        </w:rPr>
        <w:t>semestrul I 2023</w:t>
      </w:r>
    </w:p>
    <w:p w:rsidR="004E2A70" w:rsidRPr="004E2A70" w:rsidRDefault="004E2A70" w:rsidP="004E2A70">
      <w:pPr>
        <w:rPr>
          <w:lang w:val="ro-RO"/>
        </w:rPr>
      </w:pPr>
    </w:p>
    <w:p w:rsidR="00196E00" w:rsidRPr="00793447" w:rsidRDefault="00196E00" w:rsidP="00FE000A">
      <w:pPr>
        <w:spacing w:after="0" w:line="240" w:lineRule="auto"/>
        <w:ind w:firstLine="567"/>
        <w:jc w:val="both"/>
        <w:rPr>
          <w:rFonts w:asciiTheme="majorHAnsi" w:hAnsiTheme="majorHAnsi" w:cs="Arial"/>
          <w:bCs/>
          <w:iCs/>
          <w:sz w:val="24"/>
          <w:szCs w:val="24"/>
          <w:lang w:val="it-IT"/>
        </w:rPr>
      </w:pPr>
      <w:r w:rsidRPr="00793447">
        <w:rPr>
          <w:rFonts w:asciiTheme="majorHAnsi" w:hAnsiTheme="majorHAnsi" w:cs="Arial"/>
          <w:bCs/>
          <w:iCs/>
          <w:sz w:val="24"/>
          <w:szCs w:val="24"/>
          <w:lang w:val="it-IT"/>
        </w:rPr>
        <w:t xml:space="preserve">În </w:t>
      </w:r>
      <w:r w:rsidR="00FE000A" w:rsidRPr="00793447">
        <w:rPr>
          <w:rFonts w:asciiTheme="majorHAnsi" w:hAnsiTheme="majorHAnsi" w:cs="Arial"/>
          <w:bCs/>
          <w:iCs/>
          <w:sz w:val="24"/>
          <w:szCs w:val="24"/>
          <w:lang w:val="it-IT"/>
        </w:rPr>
        <w:t>semestrul I</w:t>
      </w:r>
      <w:r w:rsidRPr="00793447">
        <w:rPr>
          <w:rFonts w:asciiTheme="majorHAnsi" w:hAnsiTheme="majorHAnsi" w:cs="Arial"/>
          <w:sz w:val="24"/>
          <w:szCs w:val="24"/>
          <w:lang w:val="ro-RO"/>
        </w:rPr>
        <w:t xml:space="preserve"> </w:t>
      </w:r>
      <w:r w:rsidR="00583A47" w:rsidRPr="00793447">
        <w:rPr>
          <w:rFonts w:asciiTheme="majorHAnsi" w:hAnsiTheme="majorHAnsi"/>
          <w:sz w:val="24"/>
          <w:szCs w:val="24"/>
          <w:lang w:val="ro-RO"/>
        </w:rPr>
        <w:t>2023</w:t>
      </w:r>
      <w:r w:rsidRPr="00793447">
        <w:rPr>
          <w:rFonts w:asciiTheme="majorHAnsi" w:hAnsiTheme="majorHAnsi" w:cs="Arial"/>
          <w:bCs/>
          <w:iCs/>
          <w:sz w:val="24"/>
          <w:szCs w:val="24"/>
          <w:lang w:val="it-IT"/>
        </w:rPr>
        <w:t xml:space="preserve">, în judeţul Prahova, s-au eliberat </w:t>
      </w:r>
      <w:r w:rsidR="008F403C" w:rsidRPr="00793447">
        <w:rPr>
          <w:rFonts w:asciiTheme="majorHAnsi" w:hAnsiTheme="majorHAnsi" w:cs="Arial"/>
          <w:bCs/>
          <w:iCs/>
          <w:sz w:val="24"/>
          <w:szCs w:val="24"/>
          <w:lang w:val="it-IT"/>
        </w:rPr>
        <w:t>552</w:t>
      </w:r>
      <w:r w:rsidRPr="00793447">
        <w:rPr>
          <w:rFonts w:asciiTheme="majorHAnsi" w:hAnsiTheme="majorHAnsi" w:cs="Arial"/>
          <w:b/>
          <w:bCs/>
          <w:iCs/>
          <w:sz w:val="24"/>
          <w:szCs w:val="24"/>
          <w:lang w:val="it-IT"/>
        </w:rPr>
        <w:t xml:space="preserve"> </w:t>
      </w:r>
      <w:r w:rsidRPr="00793447">
        <w:rPr>
          <w:rFonts w:asciiTheme="majorHAnsi" w:hAnsiTheme="majorHAnsi" w:cs="Arial"/>
          <w:bCs/>
          <w:iCs/>
          <w:sz w:val="24"/>
          <w:szCs w:val="24"/>
          <w:lang w:val="it-IT"/>
        </w:rPr>
        <w:t xml:space="preserve">autorizaţii de construire pentru clădiri rezidenţiale, </w:t>
      </w:r>
      <w:r w:rsidRPr="00793447">
        <w:rPr>
          <w:rFonts w:asciiTheme="majorHAnsi" w:hAnsiTheme="majorHAnsi" w:cs="Arial"/>
          <w:bCs/>
          <w:iCs/>
          <w:sz w:val="24"/>
          <w:szCs w:val="24"/>
          <w:lang w:val="ro-RO"/>
        </w:rPr>
        <w:t xml:space="preserve">în </w:t>
      </w:r>
      <w:r w:rsidR="00BD6675" w:rsidRPr="00793447">
        <w:rPr>
          <w:rFonts w:asciiTheme="majorHAnsi" w:hAnsiTheme="majorHAnsi" w:cs="Arial"/>
          <w:bCs/>
          <w:iCs/>
          <w:sz w:val="24"/>
          <w:szCs w:val="24"/>
          <w:lang w:val="ro-RO"/>
        </w:rPr>
        <w:t>scădere</w:t>
      </w:r>
      <w:r w:rsidRPr="00793447">
        <w:rPr>
          <w:rFonts w:asciiTheme="majorHAnsi" w:hAnsiTheme="majorHAnsi" w:cs="Arial"/>
          <w:bCs/>
          <w:iCs/>
          <w:sz w:val="24"/>
          <w:szCs w:val="24"/>
          <w:lang w:val="ro-RO"/>
        </w:rPr>
        <w:t xml:space="preserve"> cu </w:t>
      </w:r>
      <w:r w:rsidR="008F403C" w:rsidRPr="00793447">
        <w:rPr>
          <w:rFonts w:asciiTheme="majorHAnsi" w:hAnsiTheme="majorHAnsi" w:cs="Arial"/>
          <w:bCs/>
          <w:iCs/>
          <w:sz w:val="24"/>
          <w:szCs w:val="24"/>
          <w:lang w:val="ro-RO"/>
        </w:rPr>
        <w:t>31,1</w:t>
      </w:r>
      <w:r w:rsidRPr="00793447">
        <w:rPr>
          <w:rFonts w:asciiTheme="majorHAnsi" w:hAnsiTheme="majorHAnsi" w:cs="Arial"/>
          <w:bCs/>
          <w:iCs/>
          <w:sz w:val="24"/>
          <w:szCs w:val="24"/>
          <w:lang w:val="ro-RO"/>
        </w:rPr>
        <w:t>%</w:t>
      </w:r>
      <w:r w:rsidRPr="00793447">
        <w:rPr>
          <w:rFonts w:asciiTheme="majorHAnsi" w:hAnsiTheme="majorHAnsi" w:cs="Arial"/>
          <w:bCs/>
          <w:iCs/>
          <w:sz w:val="24"/>
          <w:szCs w:val="24"/>
          <w:lang w:val="it-IT"/>
        </w:rPr>
        <w:t xml:space="preserve"> faţă de </w:t>
      </w:r>
      <w:r w:rsidR="00FE000A" w:rsidRPr="00793447">
        <w:rPr>
          <w:rFonts w:asciiTheme="majorHAnsi" w:hAnsiTheme="majorHAnsi" w:cs="Arial"/>
          <w:bCs/>
          <w:iCs/>
          <w:sz w:val="24"/>
          <w:szCs w:val="24"/>
          <w:lang w:val="it-IT"/>
        </w:rPr>
        <w:t>semestrul I</w:t>
      </w:r>
      <w:r w:rsidRPr="00793447">
        <w:rPr>
          <w:rFonts w:asciiTheme="majorHAnsi" w:hAnsiTheme="majorHAnsi" w:cs="Arial"/>
          <w:sz w:val="24"/>
          <w:szCs w:val="24"/>
          <w:lang w:val="ro-RO"/>
        </w:rPr>
        <w:t xml:space="preserve"> </w:t>
      </w:r>
      <w:r w:rsidR="00583A47" w:rsidRPr="00793447">
        <w:rPr>
          <w:rFonts w:asciiTheme="majorHAnsi" w:hAnsiTheme="majorHAnsi"/>
          <w:sz w:val="24"/>
          <w:szCs w:val="24"/>
          <w:lang w:val="ro-RO"/>
        </w:rPr>
        <w:t>2022</w:t>
      </w:r>
      <w:r w:rsidRPr="00793447">
        <w:rPr>
          <w:rFonts w:asciiTheme="majorHAnsi" w:hAnsiTheme="majorHAnsi" w:cs="Arial"/>
          <w:bCs/>
          <w:iCs/>
          <w:sz w:val="24"/>
          <w:szCs w:val="24"/>
          <w:lang w:val="it-IT"/>
        </w:rPr>
        <w:t>.</w:t>
      </w:r>
    </w:p>
    <w:p w:rsidR="00196E00" w:rsidRPr="00793447" w:rsidRDefault="00196E00" w:rsidP="00EC2DA0">
      <w:pPr>
        <w:autoSpaceDE w:val="0"/>
        <w:autoSpaceDN w:val="0"/>
        <w:adjustRightInd w:val="0"/>
        <w:spacing w:after="0" w:line="240" w:lineRule="auto"/>
        <w:ind w:firstLine="567"/>
        <w:jc w:val="both"/>
        <w:rPr>
          <w:rFonts w:asciiTheme="majorHAnsi" w:hAnsiTheme="majorHAnsi" w:cs="Arial"/>
          <w:sz w:val="24"/>
          <w:szCs w:val="24"/>
          <w:lang w:val="ro-RO"/>
        </w:rPr>
      </w:pPr>
      <w:r w:rsidRPr="00793447">
        <w:rPr>
          <w:rFonts w:asciiTheme="majorHAnsi" w:hAnsiTheme="majorHAnsi" w:cs="Arial"/>
          <w:sz w:val="24"/>
          <w:szCs w:val="24"/>
          <w:lang w:val="it-IT"/>
        </w:rPr>
        <w:t xml:space="preserve">Autorizaţiile eliberate pentru clădiri rezidenţiale din judeţul Prahova, în </w:t>
      </w:r>
      <w:r w:rsidR="00EC2DA0" w:rsidRPr="00793447">
        <w:rPr>
          <w:rFonts w:asciiTheme="majorHAnsi" w:hAnsiTheme="majorHAnsi" w:cs="Arial"/>
          <w:bCs/>
          <w:iCs/>
          <w:sz w:val="24"/>
          <w:szCs w:val="24"/>
          <w:lang w:val="it-IT"/>
        </w:rPr>
        <w:t>semestrul I</w:t>
      </w:r>
      <w:r w:rsidR="00EC2DA0" w:rsidRPr="00793447">
        <w:rPr>
          <w:rFonts w:asciiTheme="majorHAnsi" w:hAnsiTheme="majorHAnsi" w:cs="Arial"/>
          <w:sz w:val="24"/>
          <w:szCs w:val="24"/>
          <w:lang w:val="ro-RO"/>
        </w:rPr>
        <w:t xml:space="preserve"> </w:t>
      </w:r>
      <w:r w:rsidR="00583A47" w:rsidRPr="00793447">
        <w:rPr>
          <w:rFonts w:asciiTheme="majorHAnsi" w:hAnsiTheme="majorHAnsi"/>
          <w:sz w:val="24"/>
          <w:szCs w:val="24"/>
          <w:lang w:val="ro-RO"/>
        </w:rPr>
        <w:t>2023</w:t>
      </w:r>
      <w:r w:rsidRPr="00793447">
        <w:rPr>
          <w:rFonts w:asciiTheme="majorHAnsi" w:hAnsiTheme="majorHAnsi" w:cs="Arial"/>
          <w:sz w:val="24"/>
          <w:szCs w:val="24"/>
          <w:lang w:val="it-IT"/>
        </w:rPr>
        <w:t>, de</w:t>
      </w:r>
      <w:r w:rsidRPr="00793447">
        <w:rPr>
          <w:rFonts w:asciiTheme="majorHAnsi" w:hAnsiTheme="majorHAnsi" w:cs="Arial"/>
          <w:sz w:val="24"/>
          <w:szCs w:val="24"/>
          <w:lang w:val="ro-RO"/>
        </w:rPr>
        <w:t>ţ</w:t>
      </w:r>
      <w:r w:rsidRPr="00793447">
        <w:rPr>
          <w:rFonts w:asciiTheme="majorHAnsi" w:hAnsiTheme="majorHAnsi" w:cs="Arial"/>
          <w:sz w:val="24"/>
          <w:szCs w:val="24"/>
          <w:lang w:val="it-IT"/>
        </w:rPr>
        <w:t xml:space="preserve">in o pondere de </w:t>
      </w:r>
      <w:r w:rsidR="00EC2DA0" w:rsidRPr="00793447">
        <w:rPr>
          <w:rFonts w:asciiTheme="majorHAnsi" w:hAnsiTheme="majorHAnsi" w:cs="Arial"/>
          <w:sz w:val="24"/>
          <w:szCs w:val="24"/>
          <w:lang w:val="it-IT"/>
        </w:rPr>
        <w:t>3,</w:t>
      </w:r>
      <w:r w:rsidR="003C52E4" w:rsidRPr="00793447">
        <w:rPr>
          <w:rFonts w:asciiTheme="majorHAnsi" w:hAnsiTheme="majorHAnsi" w:cs="Arial"/>
          <w:sz w:val="24"/>
          <w:szCs w:val="24"/>
          <w:lang w:val="it-IT"/>
        </w:rPr>
        <w:t>2</w:t>
      </w:r>
      <w:r w:rsidRPr="00793447">
        <w:rPr>
          <w:rFonts w:asciiTheme="majorHAnsi" w:hAnsiTheme="majorHAnsi" w:cs="Arial"/>
          <w:sz w:val="24"/>
          <w:szCs w:val="24"/>
          <w:lang w:val="it-IT"/>
        </w:rPr>
        <w:t xml:space="preserve">% din totalul autorizaţiilor pentru clădiri rezidenţiale din România, ceea ce ne conferă </w:t>
      </w:r>
      <w:r w:rsidRPr="00793447">
        <w:rPr>
          <w:rFonts w:asciiTheme="majorHAnsi" w:hAnsiTheme="majorHAnsi" w:cs="Arial"/>
          <w:sz w:val="24"/>
          <w:szCs w:val="24"/>
          <w:lang w:val="ro-RO"/>
        </w:rPr>
        <w:t xml:space="preserve">într-un clasament naţional </w:t>
      </w:r>
      <w:r w:rsidRPr="00793447">
        <w:rPr>
          <w:rFonts w:asciiTheme="majorHAnsi" w:hAnsiTheme="majorHAnsi" w:cs="Arial"/>
          <w:sz w:val="24"/>
          <w:szCs w:val="24"/>
          <w:lang w:val="it-IT"/>
        </w:rPr>
        <w:t xml:space="preserve">din totalul autorizaţiilor pentru clădiri rezidenţiale </w:t>
      </w:r>
      <w:r w:rsidRPr="00793447">
        <w:rPr>
          <w:rFonts w:asciiTheme="majorHAnsi" w:hAnsiTheme="majorHAnsi" w:cs="Arial"/>
          <w:sz w:val="24"/>
          <w:szCs w:val="24"/>
          <w:lang w:val="ro-RO"/>
        </w:rPr>
        <w:t xml:space="preserve">locul </w:t>
      </w:r>
      <w:r w:rsidR="003C52E4" w:rsidRPr="00793447">
        <w:rPr>
          <w:rFonts w:asciiTheme="majorHAnsi" w:hAnsiTheme="majorHAnsi" w:cs="Arial"/>
          <w:sz w:val="24"/>
          <w:szCs w:val="24"/>
          <w:lang w:val="ro-RO"/>
        </w:rPr>
        <w:t>11</w:t>
      </w:r>
      <w:r w:rsidRPr="00793447">
        <w:rPr>
          <w:rFonts w:asciiTheme="majorHAnsi" w:hAnsiTheme="majorHAnsi" w:cs="Arial"/>
          <w:sz w:val="24"/>
          <w:szCs w:val="24"/>
          <w:lang w:val="ro-RO"/>
        </w:rPr>
        <w:t>.</w:t>
      </w:r>
    </w:p>
    <w:p w:rsidR="00196E00" w:rsidRPr="00793447" w:rsidRDefault="00196E00" w:rsidP="00EC2DA0">
      <w:pPr>
        <w:autoSpaceDE w:val="0"/>
        <w:autoSpaceDN w:val="0"/>
        <w:adjustRightInd w:val="0"/>
        <w:spacing w:after="0" w:line="240" w:lineRule="auto"/>
        <w:ind w:firstLine="567"/>
        <w:jc w:val="both"/>
        <w:rPr>
          <w:rFonts w:asciiTheme="majorHAnsi" w:hAnsiTheme="majorHAnsi" w:cs="Arial"/>
          <w:sz w:val="24"/>
          <w:szCs w:val="24"/>
          <w:lang w:val="ro-RO"/>
        </w:rPr>
      </w:pPr>
      <w:r w:rsidRPr="00793447">
        <w:rPr>
          <w:rFonts w:asciiTheme="majorHAnsi" w:hAnsiTheme="majorHAnsi" w:cs="Arial"/>
          <w:sz w:val="24"/>
          <w:szCs w:val="24"/>
          <w:lang w:val="ro-RO"/>
        </w:rPr>
        <w:t xml:space="preserve">În </w:t>
      </w:r>
      <w:r w:rsidR="00EC2DA0" w:rsidRPr="00793447">
        <w:rPr>
          <w:rFonts w:asciiTheme="majorHAnsi" w:hAnsiTheme="majorHAnsi" w:cs="Arial"/>
          <w:bCs/>
          <w:iCs/>
          <w:sz w:val="24"/>
          <w:szCs w:val="24"/>
          <w:lang w:val="it-IT"/>
        </w:rPr>
        <w:t>semestrul I</w:t>
      </w:r>
      <w:r w:rsidR="00EC2DA0" w:rsidRPr="00793447">
        <w:rPr>
          <w:rFonts w:asciiTheme="majorHAnsi" w:hAnsiTheme="majorHAnsi"/>
          <w:sz w:val="24"/>
          <w:szCs w:val="24"/>
          <w:lang w:val="ro-RO"/>
        </w:rPr>
        <w:t xml:space="preserve"> </w:t>
      </w:r>
      <w:r w:rsidR="00583A47" w:rsidRPr="00793447">
        <w:rPr>
          <w:rFonts w:asciiTheme="majorHAnsi" w:hAnsiTheme="majorHAnsi"/>
          <w:sz w:val="24"/>
          <w:szCs w:val="24"/>
          <w:lang w:val="ro-RO"/>
        </w:rPr>
        <w:t>2023</w:t>
      </w:r>
      <w:r w:rsidRPr="00793447">
        <w:rPr>
          <w:rFonts w:asciiTheme="majorHAnsi" w:hAnsiTheme="majorHAnsi" w:cs="Arial"/>
          <w:sz w:val="24"/>
          <w:szCs w:val="24"/>
          <w:lang w:val="ro-RO"/>
        </w:rPr>
        <w:t xml:space="preserve">, din totalul autorizaţiilor de construire pentru clădiri rezidenţiale, </w:t>
      </w:r>
      <w:r w:rsidR="008F403C" w:rsidRPr="00793447">
        <w:rPr>
          <w:rFonts w:asciiTheme="majorHAnsi" w:hAnsiTheme="majorHAnsi" w:cs="Arial"/>
          <w:sz w:val="24"/>
          <w:szCs w:val="24"/>
          <w:lang w:val="ro-RO"/>
        </w:rPr>
        <w:t>31,0</w:t>
      </w:r>
      <w:r w:rsidRPr="00793447">
        <w:rPr>
          <w:rFonts w:asciiTheme="majorHAnsi" w:hAnsiTheme="majorHAnsi" w:cs="Arial"/>
          <w:sz w:val="24"/>
          <w:szCs w:val="24"/>
          <w:lang w:val="ro-RO"/>
        </w:rPr>
        <w:t xml:space="preserve">% au fost eliberate în mediul urban şi </w:t>
      </w:r>
      <w:r w:rsidR="008F403C" w:rsidRPr="00793447">
        <w:rPr>
          <w:rFonts w:asciiTheme="majorHAnsi" w:hAnsiTheme="majorHAnsi" w:cs="Arial"/>
          <w:sz w:val="24"/>
          <w:szCs w:val="24"/>
          <w:lang w:val="ro-RO"/>
        </w:rPr>
        <w:t>69,0</w:t>
      </w:r>
      <w:r w:rsidRPr="00793447">
        <w:rPr>
          <w:rFonts w:asciiTheme="majorHAnsi" w:hAnsiTheme="majorHAnsi" w:cs="Arial"/>
          <w:sz w:val="24"/>
          <w:szCs w:val="24"/>
          <w:lang w:val="ro-RO"/>
        </w:rPr>
        <w:t>% în mediul rural.</w:t>
      </w:r>
    </w:p>
    <w:p w:rsidR="00EF0226" w:rsidRPr="00793447" w:rsidRDefault="00EF0226" w:rsidP="00196E00">
      <w:pPr>
        <w:autoSpaceDE w:val="0"/>
        <w:autoSpaceDN w:val="0"/>
        <w:adjustRightInd w:val="0"/>
        <w:spacing w:after="0" w:line="240" w:lineRule="auto"/>
        <w:jc w:val="center"/>
        <w:rPr>
          <w:rFonts w:asciiTheme="majorHAnsi" w:hAnsiTheme="majorHAnsi" w:cs="Calibri"/>
          <w:b/>
          <w:bCs/>
          <w:color w:val="FF0000"/>
          <w:sz w:val="24"/>
          <w:szCs w:val="24"/>
          <w:lang w:val="ro-RO"/>
        </w:rPr>
      </w:pPr>
    </w:p>
    <w:p w:rsidR="00D47BB8" w:rsidRPr="00793447" w:rsidRDefault="00D47BB8" w:rsidP="00196E00">
      <w:pPr>
        <w:autoSpaceDE w:val="0"/>
        <w:autoSpaceDN w:val="0"/>
        <w:adjustRightInd w:val="0"/>
        <w:spacing w:after="0" w:line="240" w:lineRule="auto"/>
        <w:jc w:val="center"/>
        <w:rPr>
          <w:rFonts w:asciiTheme="majorHAnsi" w:hAnsiTheme="majorHAnsi" w:cs="Calibri"/>
          <w:b/>
          <w:bCs/>
          <w:sz w:val="24"/>
          <w:szCs w:val="24"/>
          <w:lang w:val="ro-RO"/>
        </w:rPr>
      </w:pPr>
    </w:p>
    <w:p w:rsidR="008E2978" w:rsidRPr="00793447" w:rsidRDefault="00196E00" w:rsidP="00196E00">
      <w:pPr>
        <w:autoSpaceDE w:val="0"/>
        <w:autoSpaceDN w:val="0"/>
        <w:adjustRightInd w:val="0"/>
        <w:spacing w:after="0" w:line="240" w:lineRule="auto"/>
        <w:jc w:val="center"/>
        <w:rPr>
          <w:rFonts w:asciiTheme="majorHAnsi" w:hAnsiTheme="majorHAnsi" w:cs="Calibri"/>
          <w:b/>
          <w:bCs/>
          <w:sz w:val="24"/>
          <w:szCs w:val="24"/>
          <w:lang w:val="ro-RO"/>
        </w:rPr>
      </w:pPr>
      <w:r w:rsidRPr="00793447">
        <w:rPr>
          <w:rFonts w:asciiTheme="majorHAnsi" w:hAnsiTheme="majorHAnsi" w:cs="Calibri"/>
          <w:b/>
          <w:bCs/>
          <w:sz w:val="24"/>
          <w:szCs w:val="24"/>
          <w:lang w:val="ro-RO"/>
        </w:rPr>
        <w:t>Structura autorizaţiilor de construire eliberate pentru clădiri</w:t>
      </w:r>
      <w:r w:rsidR="00D474EB" w:rsidRPr="00793447">
        <w:rPr>
          <w:rFonts w:asciiTheme="majorHAnsi" w:hAnsiTheme="majorHAnsi" w:cs="Calibri"/>
          <w:b/>
          <w:bCs/>
          <w:sz w:val="24"/>
          <w:szCs w:val="24"/>
          <w:lang w:val="ro-RO"/>
        </w:rPr>
        <w:t xml:space="preserve">le rezidențiale, </w:t>
      </w:r>
    </w:p>
    <w:p w:rsidR="00196E00" w:rsidRPr="00793447" w:rsidRDefault="00D474EB" w:rsidP="00196E00">
      <w:pPr>
        <w:autoSpaceDE w:val="0"/>
        <w:autoSpaceDN w:val="0"/>
        <w:adjustRightInd w:val="0"/>
        <w:spacing w:after="0" w:line="240" w:lineRule="auto"/>
        <w:jc w:val="center"/>
        <w:rPr>
          <w:rFonts w:asciiTheme="majorHAnsi" w:hAnsiTheme="majorHAnsi" w:cs="Calibri"/>
          <w:b/>
          <w:bCs/>
          <w:sz w:val="24"/>
          <w:szCs w:val="24"/>
          <w:lang w:val="ro-RO"/>
        </w:rPr>
      </w:pPr>
      <w:r w:rsidRPr="00793447">
        <w:rPr>
          <w:rFonts w:asciiTheme="majorHAnsi" w:hAnsiTheme="majorHAnsi" w:cs="Calibri"/>
          <w:b/>
          <w:bCs/>
          <w:sz w:val="24"/>
          <w:szCs w:val="24"/>
          <w:lang w:val="ro-RO"/>
        </w:rPr>
        <w:t>p</w:t>
      </w:r>
      <w:r w:rsidR="00196E00" w:rsidRPr="00793447">
        <w:rPr>
          <w:rFonts w:asciiTheme="majorHAnsi" w:hAnsiTheme="majorHAnsi" w:cs="Calibri"/>
          <w:b/>
          <w:bCs/>
          <w:sz w:val="24"/>
          <w:szCs w:val="24"/>
          <w:lang w:val="ro-RO"/>
        </w:rPr>
        <w:t xml:space="preserve">e medii de rezidenţă, în perioada  </w:t>
      </w:r>
      <w:r w:rsidRPr="00793447">
        <w:rPr>
          <w:rFonts w:asciiTheme="majorHAnsi" w:hAnsiTheme="majorHAnsi" w:cs="Calibri"/>
          <w:b/>
          <w:bCs/>
          <w:sz w:val="24"/>
          <w:szCs w:val="24"/>
          <w:lang w:val="ro-RO"/>
        </w:rPr>
        <w:t>iunie</w:t>
      </w:r>
      <w:r w:rsidR="00196E00" w:rsidRPr="00793447">
        <w:rPr>
          <w:rFonts w:asciiTheme="majorHAnsi" w:hAnsiTheme="majorHAnsi" w:cs="Calibri"/>
          <w:b/>
          <w:bCs/>
          <w:sz w:val="24"/>
          <w:szCs w:val="24"/>
          <w:lang w:val="ro-RO"/>
        </w:rPr>
        <w:t xml:space="preserve">  </w:t>
      </w:r>
      <w:r w:rsidR="00583A47" w:rsidRPr="00793447">
        <w:rPr>
          <w:rFonts w:asciiTheme="majorHAnsi" w:hAnsiTheme="majorHAnsi" w:cs="Calibri"/>
          <w:b/>
          <w:bCs/>
          <w:sz w:val="24"/>
          <w:szCs w:val="24"/>
          <w:lang w:val="ro-RO"/>
        </w:rPr>
        <w:t>2022</w:t>
      </w:r>
      <w:r w:rsidR="00196E00" w:rsidRPr="00793447">
        <w:rPr>
          <w:rFonts w:asciiTheme="majorHAnsi" w:hAnsiTheme="majorHAnsi" w:cs="Calibri"/>
          <w:b/>
          <w:bCs/>
          <w:sz w:val="24"/>
          <w:szCs w:val="24"/>
          <w:lang w:val="ro-RO"/>
        </w:rPr>
        <w:t xml:space="preserve"> – </w:t>
      </w:r>
      <w:r w:rsidRPr="00793447">
        <w:rPr>
          <w:rFonts w:asciiTheme="majorHAnsi" w:hAnsiTheme="majorHAnsi" w:cs="Calibri"/>
          <w:b/>
          <w:bCs/>
          <w:sz w:val="24"/>
          <w:szCs w:val="24"/>
          <w:lang w:val="ro-RO"/>
        </w:rPr>
        <w:t>iunie</w:t>
      </w:r>
      <w:r w:rsidR="00196E00" w:rsidRPr="00793447">
        <w:rPr>
          <w:rFonts w:asciiTheme="majorHAnsi" w:hAnsiTheme="majorHAnsi" w:cs="Calibri"/>
          <w:b/>
          <w:bCs/>
          <w:sz w:val="24"/>
          <w:szCs w:val="24"/>
          <w:lang w:val="ro-RO"/>
        </w:rPr>
        <w:t xml:space="preserve">  </w:t>
      </w:r>
      <w:r w:rsidR="00583A47" w:rsidRPr="00793447">
        <w:rPr>
          <w:rFonts w:asciiTheme="majorHAnsi" w:hAnsiTheme="majorHAnsi" w:cs="Calibri"/>
          <w:b/>
          <w:bCs/>
          <w:sz w:val="24"/>
          <w:szCs w:val="24"/>
          <w:lang w:val="ro-RO"/>
        </w:rPr>
        <w:t>2023</w:t>
      </w:r>
    </w:p>
    <w:p w:rsidR="00EF0226" w:rsidRPr="00793447" w:rsidRDefault="00EF0226" w:rsidP="00196E00">
      <w:pPr>
        <w:autoSpaceDE w:val="0"/>
        <w:autoSpaceDN w:val="0"/>
        <w:adjustRightInd w:val="0"/>
        <w:spacing w:after="0" w:line="240" w:lineRule="auto"/>
        <w:jc w:val="center"/>
        <w:rPr>
          <w:rFonts w:asciiTheme="majorHAnsi" w:hAnsiTheme="majorHAnsi" w:cs="Calibri"/>
          <w:b/>
          <w:bCs/>
          <w:color w:val="FF0000"/>
          <w:sz w:val="24"/>
          <w:szCs w:val="24"/>
          <w:lang w:val="ro-RO"/>
        </w:rPr>
      </w:pPr>
    </w:p>
    <w:p w:rsidR="008E2978" w:rsidRPr="00793447" w:rsidRDefault="008E2978" w:rsidP="006E28AA">
      <w:pPr>
        <w:jc w:val="center"/>
        <w:rPr>
          <w:rFonts w:asciiTheme="majorHAnsi" w:hAnsiTheme="majorHAnsi" w:cs="Arial"/>
          <w:b/>
          <w:bCs/>
          <w:color w:val="FF0000"/>
          <w:sz w:val="24"/>
          <w:szCs w:val="24"/>
          <w:lang w:val="pt-BR"/>
        </w:rPr>
      </w:pPr>
      <w:r w:rsidRPr="00793447">
        <w:rPr>
          <w:rFonts w:asciiTheme="majorHAnsi" w:hAnsiTheme="majorHAnsi"/>
          <w:b/>
          <w:bCs/>
          <w:noProof/>
          <w:sz w:val="24"/>
          <w:szCs w:val="24"/>
        </w:rPr>
        <w:drawing>
          <wp:inline distT="0" distB="0" distL="0" distR="0">
            <wp:extent cx="5852160" cy="2560320"/>
            <wp:effectExtent l="0" t="0" r="0" b="0"/>
            <wp:docPr id="39" name="Char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2704C" w:rsidRPr="00793447" w:rsidRDefault="00A2704C" w:rsidP="00C12D33">
      <w:pPr>
        <w:spacing w:after="0" w:line="240" w:lineRule="auto"/>
        <w:ind w:left="357"/>
        <w:jc w:val="center"/>
        <w:rPr>
          <w:rFonts w:asciiTheme="majorHAnsi" w:hAnsiTheme="majorHAnsi" w:cs="Arial"/>
          <w:b/>
          <w:bCs/>
          <w:color w:val="FF0000"/>
          <w:sz w:val="24"/>
          <w:szCs w:val="24"/>
          <w:lang w:val="pt-BR"/>
        </w:rPr>
      </w:pPr>
    </w:p>
    <w:p w:rsidR="00EF0226" w:rsidRPr="00793447" w:rsidRDefault="00EF0226" w:rsidP="00C12D33">
      <w:pPr>
        <w:spacing w:after="0" w:line="240" w:lineRule="auto"/>
        <w:ind w:left="357"/>
        <w:jc w:val="center"/>
        <w:rPr>
          <w:rFonts w:asciiTheme="majorHAnsi" w:hAnsiTheme="majorHAnsi" w:cs="Arial"/>
          <w:b/>
          <w:bCs/>
          <w:color w:val="FF0000"/>
          <w:sz w:val="24"/>
          <w:szCs w:val="24"/>
          <w:lang w:val="pt-BR"/>
        </w:rPr>
      </w:pPr>
    </w:p>
    <w:p w:rsidR="003C52E4" w:rsidRPr="00793447" w:rsidRDefault="003C52E4" w:rsidP="00C12D33">
      <w:pPr>
        <w:spacing w:after="0" w:line="240" w:lineRule="auto"/>
        <w:ind w:left="357"/>
        <w:jc w:val="center"/>
        <w:rPr>
          <w:rFonts w:asciiTheme="majorHAnsi" w:hAnsiTheme="majorHAnsi" w:cs="Arial"/>
          <w:b/>
          <w:bCs/>
          <w:color w:val="FF0000"/>
          <w:sz w:val="24"/>
          <w:szCs w:val="24"/>
          <w:lang w:val="pt-BR"/>
        </w:rPr>
      </w:pPr>
    </w:p>
    <w:p w:rsidR="003C52E4" w:rsidRPr="00793447" w:rsidRDefault="003C52E4" w:rsidP="003C52E4">
      <w:pPr>
        <w:spacing w:after="0" w:line="240" w:lineRule="auto"/>
        <w:jc w:val="center"/>
        <w:rPr>
          <w:rFonts w:asciiTheme="majorHAnsi" w:hAnsiTheme="majorHAnsi" w:cs="Arial"/>
          <w:b/>
          <w:bCs/>
          <w:color w:val="FF0000"/>
          <w:sz w:val="24"/>
          <w:szCs w:val="24"/>
          <w:lang w:val="pt-BR"/>
        </w:rPr>
      </w:pPr>
      <w:r w:rsidRPr="00793447">
        <w:rPr>
          <w:rFonts w:asciiTheme="majorHAnsi" w:hAnsiTheme="majorHAnsi" w:cs="Arial"/>
          <w:noProof/>
          <w:sz w:val="24"/>
          <w:szCs w:val="24"/>
        </w:rPr>
        <w:drawing>
          <wp:inline distT="0" distB="0" distL="0" distR="0" wp14:anchorId="218E1E6D" wp14:editId="6432022E">
            <wp:extent cx="5958840" cy="2320120"/>
            <wp:effectExtent l="0" t="0" r="3810" b="44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C52E4" w:rsidRPr="00793447" w:rsidRDefault="003C52E4" w:rsidP="00C12D33">
      <w:pPr>
        <w:spacing w:after="0" w:line="240" w:lineRule="auto"/>
        <w:ind w:left="357"/>
        <w:jc w:val="center"/>
        <w:rPr>
          <w:rFonts w:asciiTheme="majorHAnsi" w:hAnsiTheme="majorHAnsi" w:cs="Arial"/>
          <w:b/>
          <w:bCs/>
          <w:color w:val="FF0000"/>
          <w:sz w:val="24"/>
          <w:szCs w:val="24"/>
          <w:lang w:val="pt-BR"/>
        </w:rPr>
      </w:pPr>
    </w:p>
    <w:p w:rsidR="008E2978" w:rsidRPr="00793447" w:rsidRDefault="008E2978" w:rsidP="00F4526E">
      <w:pPr>
        <w:spacing w:after="0" w:line="240" w:lineRule="auto"/>
        <w:jc w:val="center"/>
        <w:rPr>
          <w:rFonts w:asciiTheme="majorHAnsi" w:hAnsiTheme="majorHAnsi"/>
          <w:b/>
          <w:sz w:val="24"/>
          <w:szCs w:val="24"/>
        </w:rPr>
      </w:pPr>
      <w:r w:rsidRPr="00793447">
        <w:rPr>
          <w:rFonts w:asciiTheme="majorHAnsi" w:hAnsiTheme="majorHAnsi"/>
          <w:b/>
          <w:noProof/>
          <w:sz w:val="24"/>
          <w:szCs w:val="24"/>
        </w:rPr>
        <w:drawing>
          <wp:inline distT="0" distB="0" distL="0" distR="0">
            <wp:extent cx="5486400" cy="82296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E2978" w:rsidRPr="00793447" w:rsidRDefault="008E2978" w:rsidP="00F4526E">
      <w:pPr>
        <w:spacing w:after="0" w:line="240" w:lineRule="auto"/>
        <w:jc w:val="center"/>
        <w:rPr>
          <w:rFonts w:asciiTheme="majorHAnsi" w:hAnsiTheme="majorHAnsi"/>
          <w:b/>
          <w:sz w:val="24"/>
          <w:szCs w:val="24"/>
        </w:rPr>
      </w:pPr>
    </w:p>
    <w:p w:rsidR="001D251F" w:rsidRPr="00793447" w:rsidRDefault="001D251F" w:rsidP="004C21A5">
      <w:pPr>
        <w:jc w:val="both"/>
        <w:rPr>
          <w:rFonts w:asciiTheme="majorHAnsi" w:hAnsiTheme="majorHAnsi"/>
          <w:b/>
          <w:color w:val="FF0000"/>
          <w:sz w:val="24"/>
          <w:szCs w:val="24"/>
        </w:rPr>
      </w:pPr>
    </w:p>
    <w:p w:rsidR="00B12DC3" w:rsidRPr="00793447" w:rsidRDefault="00B12DC3" w:rsidP="009F6B3D">
      <w:pPr>
        <w:autoSpaceDE w:val="0"/>
        <w:autoSpaceDN w:val="0"/>
        <w:adjustRightInd w:val="0"/>
        <w:spacing w:after="0" w:line="240" w:lineRule="auto"/>
        <w:outlineLvl w:val="0"/>
        <w:rPr>
          <w:rFonts w:asciiTheme="majorHAnsi" w:hAnsiTheme="majorHAnsi" w:cs="Calibri"/>
          <w:b/>
          <w:sz w:val="24"/>
          <w:szCs w:val="24"/>
          <w:lang w:val="ro-RO"/>
        </w:rPr>
      </w:pPr>
      <w:bookmarkStart w:id="7" w:name="_Toc81828245"/>
    </w:p>
    <w:p w:rsidR="00B12DC3" w:rsidRPr="00793447" w:rsidRDefault="00B12DC3" w:rsidP="009F6B3D">
      <w:pPr>
        <w:autoSpaceDE w:val="0"/>
        <w:autoSpaceDN w:val="0"/>
        <w:adjustRightInd w:val="0"/>
        <w:spacing w:after="0" w:line="240" w:lineRule="auto"/>
        <w:outlineLvl w:val="0"/>
        <w:rPr>
          <w:rFonts w:asciiTheme="majorHAnsi" w:hAnsiTheme="majorHAnsi" w:cs="Calibri"/>
          <w:b/>
          <w:sz w:val="24"/>
          <w:szCs w:val="24"/>
          <w:lang w:val="ro-RO"/>
        </w:rPr>
      </w:pPr>
    </w:p>
    <w:p w:rsidR="009F6B3D" w:rsidRPr="00793447" w:rsidRDefault="009F6B3D" w:rsidP="009F6B3D">
      <w:pPr>
        <w:autoSpaceDE w:val="0"/>
        <w:autoSpaceDN w:val="0"/>
        <w:adjustRightInd w:val="0"/>
        <w:spacing w:after="0" w:line="240" w:lineRule="auto"/>
        <w:outlineLvl w:val="0"/>
        <w:rPr>
          <w:rFonts w:asciiTheme="majorHAnsi" w:hAnsiTheme="majorHAnsi" w:cs="Calibri"/>
          <w:b/>
          <w:sz w:val="24"/>
          <w:szCs w:val="24"/>
          <w:lang w:val="ro-RO"/>
        </w:rPr>
      </w:pPr>
      <w:r w:rsidRPr="00793447">
        <w:rPr>
          <w:rFonts w:asciiTheme="majorHAnsi" w:hAnsiTheme="majorHAnsi" w:cs="Calibri"/>
          <w:b/>
          <w:sz w:val="24"/>
          <w:szCs w:val="24"/>
          <w:lang w:val="ro-RO"/>
        </w:rPr>
        <w:t xml:space="preserve">2.4. TURISM </w:t>
      </w:r>
      <w:r w:rsidR="00930B66">
        <w:rPr>
          <w:rFonts w:asciiTheme="majorHAnsi" w:hAnsiTheme="majorHAnsi" w:cs="Calibri"/>
          <w:b/>
          <w:sz w:val="24"/>
          <w:szCs w:val="24"/>
          <w:lang w:val="ro-RO"/>
        </w:rPr>
        <w:t>-</w:t>
      </w:r>
      <w:r w:rsidR="004E2A70">
        <w:rPr>
          <w:rFonts w:asciiTheme="majorHAnsi" w:hAnsiTheme="majorHAnsi" w:cs="Calibri"/>
          <w:b/>
          <w:sz w:val="24"/>
          <w:szCs w:val="24"/>
          <w:lang w:val="ro-RO"/>
        </w:rPr>
        <w:t xml:space="preserve"> SEMESTRUL I 2023</w:t>
      </w:r>
    </w:p>
    <w:p w:rsidR="009F6B3D" w:rsidRPr="00793447" w:rsidRDefault="009F6B3D" w:rsidP="009F6B3D">
      <w:pPr>
        <w:autoSpaceDE w:val="0"/>
        <w:autoSpaceDN w:val="0"/>
        <w:adjustRightInd w:val="0"/>
        <w:spacing w:after="0" w:line="240" w:lineRule="auto"/>
        <w:jc w:val="both"/>
        <w:outlineLvl w:val="0"/>
        <w:rPr>
          <w:rFonts w:asciiTheme="majorHAnsi" w:hAnsiTheme="majorHAnsi" w:cs="Calibri"/>
          <w:sz w:val="24"/>
          <w:szCs w:val="24"/>
          <w:lang w:val="ro-RO"/>
        </w:rPr>
      </w:pPr>
    </w:p>
    <w:p w:rsidR="00B12DC3" w:rsidRPr="00793447" w:rsidRDefault="00B12DC3" w:rsidP="009F6B3D">
      <w:pPr>
        <w:autoSpaceDE w:val="0"/>
        <w:autoSpaceDN w:val="0"/>
        <w:adjustRightInd w:val="0"/>
        <w:spacing w:after="0" w:line="240" w:lineRule="auto"/>
        <w:jc w:val="both"/>
        <w:outlineLvl w:val="0"/>
        <w:rPr>
          <w:rFonts w:asciiTheme="majorHAnsi" w:hAnsiTheme="majorHAnsi" w:cs="Calibri"/>
          <w:sz w:val="24"/>
          <w:szCs w:val="24"/>
          <w:lang w:val="ro-RO"/>
        </w:rPr>
      </w:pPr>
    </w:p>
    <w:p w:rsidR="009F6B3D" w:rsidRPr="00793447" w:rsidRDefault="009F6B3D" w:rsidP="009F6B3D">
      <w:pPr>
        <w:spacing w:after="0" w:line="240" w:lineRule="auto"/>
        <w:ind w:right="227" w:firstLine="720"/>
        <w:jc w:val="both"/>
        <w:rPr>
          <w:rFonts w:asciiTheme="majorHAnsi" w:hAnsiTheme="majorHAnsi" w:cs="Calibri"/>
          <w:sz w:val="24"/>
          <w:szCs w:val="24"/>
        </w:rPr>
      </w:pPr>
      <w:r w:rsidRPr="00793447">
        <w:rPr>
          <w:rFonts w:asciiTheme="majorHAnsi" w:hAnsiTheme="majorHAnsi"/>
          <w:sz w:val="24"/>
          <w:szCs w:val="24"/>
        </w:rPr>
        <w:t xml:space="preserve">În semestrul I </w:t>
      </w:r>
      <w:r w:rsidR="00583A47" w:rsidRPr="00793447">
        <w:rPr>
          <w:rFonts w:asciiTheme="majorHAnsi" w:hAnsiTheme="majorHAnsi"/>
          <w:sz w:val="24"/>
          <w:szCs w:val="24"/>
        </w:rPr>
        <w:t>2023</w:t>
      </w:r>
      <w:r w:rsidRPr="00793447">
        <w:rPr>
          <w:rFonts w:asciiTheme="majorHAnsi" w:hAnsiTheme="majorHAnsi"/>
          <w:sz w:val="24"/>
          <w:szCs w:val="24"/>
        </w:rPr>
        <w:t xml:space="preserve"> comparativ cu semestrul I </w:t>
      </w:r>
      <w:r w:rsidR="00583A47" w:rsidRPr="00793447">
        <w:rPr>
          <w:rFonts w:asciiTheme="majorHAnsi" w:hAnsiTheme="majorHAnsi"/>
          <w:sz w:val="24"/>
          <w:szCs w:val="24"/>
        </w:rPr>
        <w:t>2022</w:t>
      </w:r>
      <w:r w:rsidRPr="00793447">
        <w:rPr>
          <w:rFonts w:asciiTheme="majorHAnsi" w:hAnsiTheme="majorHAnsi"/>
          <w:sz w:val="24"/>
          <w:szCs w:val="24"/>
        </w:rPr>
        <w:t xml:space="preserve">, sosirile şi înnoptările în structurile de primire turistică cu funcţiuni de cazare din judeţul Prahova, au înregistrat creşteri cu </w:t>
      </w:r>
      <w:r w:rsidR="001A2CE4" w:rsidRPr="00793447">
        <w:rPr>
          <w:rFonts w:asciiTheme="majorHAnsi" w:hAnsiTheme="majorHAnsi"/>
          <w:sz w:val="24"/>
          <w:szCs w:val="24"/>
        </w:rPr>
        <w:t>19,2</w:t>
      </w:r>
      <w:r w:rsidRPr="00793447">
        <w:rPr>
          <w:rFonts w:asciiTheme="majorHAnsi" w:hAnsiTheme="majorHAnsi"/>
          <w:sz w:val="24"/>
          <w:szCs w:val="24"/>
        </w:rPr>
        <w:t xml:space="preserve">% respectiv cu </w:t>
      </w:r>
      <w:r w:rsidR="001A2CE4" w:rsidRPr="00793447">
        <w:rPr>
          <w:rFonts w:asciiTheme="majorHAnsi" w:hAnsiTheme="majorHAnsi"/>
          <w:sz w:val="24"/>
          <w:szCs w:val="24"/>
        </w:rPr>
        <w:t>20</w:t>
      </w:r>
      <w:r w:rsidR="00DB7C63" w:rsidRPr="00793447">
        <w:rPr>
          <w:rFonts w:asciiTheme="majorHAnsi" w:hAnsiTheme="majorHAnsi"/>
          <w:sz w:val="24"/>
          <w:szCs w:val="24"/>
        </w:rPr>
        <w:t>,4</w:t>
      </w:r>
      <w:r w:rsidRPr="00793447">
        <w:rPr>
          <w:rFonts w:asciiTheme="majorHAnsi" w:hAnsiTheme="majorHAnsi"/>
          <w:sz w:val="24"/>
          <w:szCs w:val="24"/>
        </w:rPr>
        <w:t>%.</w:t>
      </w:r>
    </w:p>
    <w:p w:rsidR="009F6B3D" w:rsidRPr="00793447" w:rsidRDefault="009F6B3D" w:rsidP="009F6B3D">
      <w:pPr>
        <w:autoSpaceDE w:val="0"/>
        <w:autoSpaceDN w:val="0"/>
        <w:adjustRightInd w:val="0"/>
        <w:spacing w:after="0" w:line="240" w:lineRule="auto"/>
        <w:jc w:val="both"/>
        <w:outlineLvl w:val="0"/>
        <w:rPr>
          <w:rFonts w:asciiTheme="majorHAnsi" w:hAnsiTheme="majorHAnsi" w:cs="Calibri"/>
          <w:color w:val="FF0000"/>
          <w:sz w:val="24"/>
          <w:szCs w:val="24"/>
          <w:lang w:val="ro-RO"/>
        </w:rPr>
      </w:pPr>
    </w:p>
    <w:p w:rsidR="00B12DC3" w:rsidRPr="00793447" w:rsidRDefault="00B12DC3" w:rsidP="009F6B3D">
      <w:pPr>
        <w:autoSpaceDE w:val="0"/>
        <w:autoSpaceDN w:val="0"/>
        <w:adjustRightInd w:val="0"/>
        <w:spacing w:after="0" w:line="240" w:lineRule="auto"/>
        <w:jc w:val="both"/>
        <w:outlineLvl w:val="0"/>
        <w:rPr>
          <w:rFonts w:asciiTheme="majorHAnsi" w:hAnsiTheme="majorHAnsi" w:cs="Calibri"/>
          <w:color w:val="FF0000"/>
          <w:sz w:val="24"/>
          <w:szCs w:val="24"/>
          <w:lang w:val="ro-RO"/>
        </w:rPr>
      </w:pPr>
    </w:p>
    <w:p w:rsidR="009F6B3D" w:rsidRPr="00793447" w:rsidRDefault="009F6B3D" w:rsidP="009F6B3D">
      <w:pPr>
        <w:spacing w:after="0" w:line="240" w:lineRule="auto"/>
        <w:ind w:right="-131"/>
        <w:jc w:val="center"/>
        <w:rPr>
          <w:rFonts w:asciiTheme="majorHAnsi" w:hAnsiTheme="majorHAnsi" w:cs="Calibri,Bold"/>
          <w:b/>
          <w:bCs/>
          <w:sz w:val="24"/>
          <w:szCs w:val="24"/>
        </w:rPr>
      </w:pPr>
      <w:r w:rsidRPr="00793447">
        <w:rPr>
          <w:rFonts w:asciiTheme="majorHAnsi" w:hAnsiTheme="majorHAnsi" w:cs="Calibri,Bold"/>
          <w:b/>
          <w:bCs/>
          <w:sz w:val="24"/>
          <w:szCs w:val="24"/>
        </w:rPr>
        <w:t>Sosiri şi înnoptări în structuri de primire turistică cu funcţiuni de cazare turistică,</w:t>
      </w:r>
    </w:p>
    <w:p w:rsidR="009F6B3D" w:rsidRPr="00793447" w:rsidRDefault="009F6B3D" w:rsidP="009F6B3D">
      <w:pPr>
        <w:spacing w:after="0" w:line="240" w:lineRule="auto"/>
        <w:ind w:right="-131"/>
        <w:jc w:val="center"/>
        <w:rPr>
          <w:rFonts w:asciiTheme="majorHAnsi" w:hAnsiTheme="majorHAnsi" w:cs="Calibri,Bold"/>
          <w:b/>
          <w:bCs/>
          <w:sz w:val="24"/>
          <w:szCs w:val="24"/>
        </w:rPr>
      </w:pPr>
      <w:r w:rsidRPr="00793447">
        <w:rPr>
          <w:rFonts w:asciiTheme="majorHAnsi" w:hAnsiTheme="majorHAnsi" w:cs="Calibri,Bold"/>
          <w:b/>
          <w:bCs/>
          <w:sz w:val="24"/>
          <w:szCs w:val="24"/>
        </w:rPr>
        <w:t>pe tipuri de structuri</w:t>
      </w:r>
    </w:p>
    <w:p w:rsidR="009F6B3D" w:rsidRPr="00793447" w:rsidRDefault="009F6B3D" w:rsidP="009F6B3D">
      <w:pPr>
        <w:spacing w:after="0" w:line="240" w:lineRule="auto"/>
        <w:ind w:right="-131"/>
        <w:rPr>
          <w:rFonts w:asciiTheme="majorHAnsi" w:hAnsiTheme="majorHAnsi" w:cs="Calibri,Bold"/>
          <w:b/>
          <w:bCs/>
          <w:sz w:val="24"/>
          <w:szCs w:val="24"/>
        </w:rPr>
      </w:pPr>
    </w:p>
    <w:p w:rsidR="00B12DC3" w:rsidRPr="00793447" w:rsidRDefault="00B12DC3" w:rsidP="009F6B3D">
      <w:pPr>
        <w:spacing w:after="0" w:line="240" w:lineRule="auto"/>
        <w:ind w:right="-131"/>
        <w:rPr>
          <w:rFonts w:asciiTheme="majorHAnsi" w:hAnsiTheme="majorHAnsi" w:cs="Calibri,Bold"/>
          <w:b/>
          <w:bCs/>
          <w:sz w:val="24"/>
          <w:szCs w:val="24"/>
        </w:rPr>
      </w:pPr>
    </w:p>
    <w:tbl>
      <w:tblPr>
        <w:tblW w:w="10017" w:type="dxa"/>
        <w:jc w:val="center"/>
        <w:tblLook w:val="0000" w:firstRow="0" w:lastRow="0" w:firstColumn="0" w:lastColumn="0" w:noHBand="0" w:noVBand="0"/>
      </w:tblPr>
      <w:tblGrid>
        <w:gridCol w:w="2381"/>
        <w:gridCol w:w="1261"/>
        <w:gridCol w:w="1206"/>
        <w:gridCol w:w="1491"/>
        <w:gridCol w:w="1202"/>
        <w:gridCol w:w="1148"/>
        <w:gridCol w:w="1328"/>
      </w:tblGrid>
      <w:tr w:rsidR="00E84833" w:rsidRPr="00793447" w:rsidTr="00653CD6">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Tipuri de structuri </w:t>
            </w:r>
          </w:p>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de primire turistică</w:t>
            </w:r>
          </w:p>
        </w:tc>
        <w:tc>
          <w:tcPr>
            <w:tcW w:w="3958" w:type="dxa"/>
            <w:gridSpan w:val="3"/>
            <w:tcBorders>
              <w:top w:val="single" w:sz="8" w:space="0" w:color="auto"/>
              <w:left w:val="single" w:sz="4" w:space="0" w:color="auto"/>
              <w:bottom w:val="single" w:sz="8" w:space="0" w:color="auto"/>
              <w:right w:val="single" w:sz="8" w:space="0" w:color="000000"/>
            </w:tcBorders>
            <w:shd w:val="clear" w:color="auto" w:fill="auto"/>
            <w:noWrap/>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Sosiri</w:t>
            </w:r>
          </w:p>
        </w:tc>
        <w:tc>
          <w:tcPr>
            <w:tcW w:w="3767" w:type="dxa"/>
            <w:gridSpan w:val="3"/>
            <w:tcBorders>
              <w:top w:val="single" w:sz="8" w:space="0" w:color="auto"/>
              <w:left w:val="nil"/>
              <w:bottom w:val="single" w:sz="8" w:space="0" w:color="auto"/>
              <w:right w:val="single" w:sz="8" w:space="0" w:color="000000"/>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Înnoptări</w:t>
            </w:r>
          </w:p>
        </w:tc>
      </w:tr>
      <w:tr w:rsidR="00E84833" w:rsidRPr="00793447" w:rsidTr="00653CD6">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F6B3D" w:rsidRPr="00793447" w:rsidRDefault="009F6B3D" w:rsidP="00840F25">
            <w:pPr>
              <w:spacing w:after="0" w:line="240" w:lineRule="auto"/>
              <w:rPr>
                <w:rFonts w:asciiTheme="majorHAnsi" w:hAnsiTheme="majorHAnsi" w:cs="Arial"/>
                <w:b/>
                <w:bCs/>
                <w:sz w:val="24"/>
                <w:szCs w:val="24"/>
              </w:rPr>
            </w:pPr>
          </w:p>
        </w:tc>
        <w:tc>
          <w:tcPr>
            <w:tcW w:w="1261" w:type="dxa"/>
            <w:vMerge w:val="restart"/>
            <w:tcBorders>
              <w:top w:val="nil"/>
              <w:left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2022</w:t>
            </w:r>
          </w:p>
        </w:tc>
        <w:tc>
          <w:tcPr>
            <w:tcW w:w="1206" w:type="dxa"/>
            <w:vMerge w:val="restart"/>
            <w:tcBorders>
              <w:top w:val="nil"/>
              <w:left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2023</w:t>
            </w:r>
          </w:p>
        </w:tc>
        <w:tc>
          <w:tcPr>
            <w:tcW w:w="1491" w:type="dxa"/>
            <w:tcBorders>
              <w:top w:val="nil"/>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2023</w:t>
            </w:r>
          </w:p>
        </w:tc>
        <w:tc>
          <w:tcPr>
            <w:tcW w:w="1202" w:type="dxa"/>
            <w:vMerge w:val="restart"/>
            <w:tcBorders>
              <w:top w:val="nil"/>
              <w:left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2022</w:t>
            </w:r>
          </w:p>
        </w:tc>
        <w:tc>
          <w:tcPr>
            <w:tcW w:w="1148" w:type="dxa"/>
            <w:vMerge w:val="restart"/>
            <w:tcBorders>
              <w:top w:val="nil"/>
              <w:left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2023</w:t>
            </w:r>
          </w:p>
        </w:tc>
        <w:tc>
          <w:tcPr>
            <w:tcW w:w="1417" w:type="dxa"/>
            <w:tcBorders>
              <w:top w:val="nil"/>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2023</w:t>
            </w:r>
          </w:p>
        </w:tc>
      </w:tr>
      <w:tr w:rsidR="00E84833" w:rsidRPr="00793447" w:rsidTr="00653CD6">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F6B3D" w:rsidRPr="00793447" w:rsidRDefault="009F6B3D" w:rsidP="00840F25">
            <w:pPr>
              <w:spacing w:after="0" w:line="240" w:lineRule="auto"/>
              <w:rPr>
                <w:rFonts w:asciiTheme="majorHAnsi" w:hAnsiTheme="majorHAnsi" w:cs="Arial"/>
                <w:b/>
                <w:bCs/>
                <w:sz w:val="24"/>
                <w:szCs w:val="24"/>
              </w:rPr>
            </w:pPr>
          </w:p>
        </w:tc>
        <w:tc>
          <w:tcPr>
            <w:tcW w:w="1261" w:type="dxa"/>
            <w:vMerge/>
            <w:tcBorders>
              <w:left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p>
        </w:tc>
        <w:tc>
          <w:tcPr>
            <w:tcW w:w="1206" w:type="dxa"/>
            <w:vMerge/>
            <w:tcBorders>
              <w:left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p>
        </w:tc>
        <w:tc>
          <w:tcPr>
            <w:tcW w:w="1491" w:type="dxa"/>
            <w:tcBorders>
              <w:top w:val="nil"/>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faţă de</w:t>
            </w:r>
          </w:p>
        </w:tc>
        <w:tc>
          <w:tcPr>
            <w:tcW w:w="1202" w:type="dxa"/>
            <w:vMerge/>
            <w:tcBorders>
              <w:left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p>
        </w:tc>
        <w:tc>
          <w:tcPr>
            <w:tcW w:w="1148" w:type="dxa"/>
            <w:vMerge/>
            <w:tcBorders>
              <w:left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p>
        </w:tc>
        <w:tc>
          <w:tcPr>
            <w:tcW w:w="1417" w:type="dxa"/>
            <w:tcBorders>
              <w:top w:val="nil"/>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faţă de</w:t>
            </w:r>
          </w:p>
        </w:tc>
      </w:tr>
      <w:tr w:rsidR="00E84833" w:rsidRPr="00793447" w:rsidTr="00653CD6">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F6B3D" w:rsidRPr="00793447" w:rsidRDefault="009F6B3D" w:rsidP="00840F25">
            <w:pPr>
              <w:spacing w:after="0" w:line="240" w:lineRule="auto"/>
              <w:rPr>
                <w:rFonts w:asciiTheme="majorHAnsi" w:hAnsiTheme="majorHAnsi" w:cs="Arial"/>
                <w:b/>
                <w:bCs/>
                <w:sz w:val="24"/>
                <w:szCs w:val="24"/>
              </w:rPr>
            </w:pPr>
          </w:p>
        </w:tc>
        <w:tc>
          <w:tcPr>
            <w:tcW w:w="1261" w:type="dxa"/>
            <w:vMerge/>
            <w:tcBorders>
              <w:left w:val="single" w:sz="4" w:space="0" w:color="auto"/>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p>
        </w:tc>
        <w:tc>
          <w:tcPr>
            <w:tcW w:w="1206" w:type="dxa"/>
            <w:vMerge/>
            <w:tcBorders>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p>
        </w:tc>
        <w:tc>
          <w:tcPr>
            <w:tcW w:w="1491" w:type="dxa"/>
            <w:tcBorders>
              <w:top w:val="nil"/>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2022</w:t>
            </w:r>
          </w:p>
        </w:tc>
        <w:tc>
          <w:tcPr>
            <w:tcW w:w="1202" w:type="dxa"/>
            <w:vMerge/>
            <w:tcBorders>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p>
        </w:tc>
        <w:tc>
          <w:tcPr>
            <w:tcW w:w="1148" w:type="dxa"/>
            <w:vMerge/>
            <w:tcBorders>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p>
        </w:tc>
        <w:tc>
          <w:tcPr>
            <w:tcW w:w="1417" w:type="dxa"/>
            <w:tcBorders>
              <w:top w:val="nil"/>
              <w:left w:val="nil"/>
              <w:bottom w:val="nil"/>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xml:space="preserve">sem.I </w:t>
            </w:r>
            <w:r w:rsidR="00583A47" w:rsidRPr="00793447">
              <w:rPr>
                <w:rFonts w:asciiTheme="majorHAnsi" w:hAnsiTheme="majorHAnsi" w:cs="Arial"/>
                <w:b/>
                <w:bCs/>
                <w:sz w:val="24"/>
                <w:szCs w:val="24"/>
              </w:rPr>
              <w:t>2022</w:t>
            </w:r>
          </w:p>
        </w:tc>
      </w:tr>
      <w:tr w:rsidR="00FD5912" w:rsidRPr="00793447" w:rsidTr="00653CD6">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F6B3D" w:rsidRPr="00793447" w:rsidRDefault="009F6B3D" w:rsidP="00840F25">
            <w:pPr>
              <w:spacing w:after="0" w:line="240" w:lineRule="auto"/>
              <w:rPr>
                <w:rFonts w:asciiTheme="majorHAnsi" w:hAnsiTheme="majorHAnsi" w:cs="Arial"/>
                <w:b/>
                <w:bCs/>
                <w:sz w:val="24"/>
                <w:szCs w:val="24"/>
              </w:rPr>
            </w:pPr>
          </w:p>
        </w:tc>
        <w:tc>
          <w:tcPr>
            <w:tcW w:w="1261" w:type="dxa"/>
            <w:tcBorders>
              <w:top w:val="nil"/>
              <w:left w:val="single" w:sz="4" w:space="0" w:color="auto"/>
              <w:bottom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r w:rsidRPr="00793447">
              <w:rPr>
                <w:rFonts w:asciiTheme="majorHAnsi" w:hAnsiTheme="majorHAnsi" w:cs="Arial"/>
                <w:b/>
                <w:bCs/>
                <w:sz w:val="24"/>
                <w:szCs w:val="24"/>
              </w:rPr>
              <w:t>- număr -</w:t>
            </w:r>
          </w:p>
        </w:tc>
        <w:tc>
          <w:tcPr>
            <w:tcW w:w="1206" w:type="dxa"/>
            <w:tcBorders>
              <w:top w:val="nil"/>
              <w:left w:val="nil"/>
              <w:bottom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r w:rsidRPr="00793447">
              <w:rPr>
                <w:rFonts w:asciiTheme="majorHAnsi" w:hAnsiTheme="majorHAnsi" w:cs="Arial"/>
                <w:b/>
                <w:bCs/>
                <w:sz w:val="24"/>
                <w:szCs w:val="24"/>
              </w:rPr>
              <w:t>- număr -</w:t>
            </w:r>
          </w:p>
        </w:tc>
        <w:tc>
          <w:tcPr>
            <w:tcW w:w="1491" w:type="dxa"/>
            <w:tcBorders>
              <w:top w:val="nil"/>
              <w:left w:val="nil"/>
              <w:bottom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 -</w:t>
            </w:r>
          </w:p>
        </w:tc>
        <w:tc>
          <w:tcPr>
            <w:tcW w:w="1202" w:type="dxa"/>
            <w:tcBorders>
              <w:top w:val="nil"/>
              <w:left w:val="nil"/>
              <w:bottom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r w:rsidRPr="00793447">
              <w:rPr>
                <w:rFonts w:asciiTheme="majorHAnsi" w:hAnsiTheme="majorHAnsi" w:cs="Arial"/>
                <w:b/>
                <w:bCs/>
                <w:sz w:val="24"/>
                <w:szCs w:val="24"/>
              </w:rPr>
              <w:t>- număr -</w:t>
            </w:r>
          </w:p>
        </w:tc>
        <w:tc>
          <w:tcPr>
            <w:tcW w:w="1148" w:type="dxa"/>
            <w:tcBorders>
              <w:top w:val="nil"/>
              <w:left w:val="nil"/>
              <w:bottom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sz w:val="24"/>
                <w:szCs w:val="24"/>
              </w:rPr>
            </w:pPr>
            <w:r w:rsidRPr="00793447">
              <w:rPr>
                <w:rFonts w:asciiTheme="majorHAnsi" w:hAnsiTheme="majorHAnsi" w:cs="Arial"/>
                <w:b/>
                <w:bCs/>
                <w:sz w:val="24"/>
                <w:szCs w:val="24"/>
              </w:rPr>
              <w:t>- număr -</w:t>
            </w:r>
          </w:p>
        </w:tc>
        <w:tc>
          <w:tcPr>
            <w:tcW w:w="1417" w:type="dxa"/>
            <w:tcBorders>
              <w:top w:val="nil"/>
              <w:left w:val="nil"/>
              <w:bottom w:val="single" w:sz="4" w:space="0" w:color="auto"/>
              <w:right w:val="single" w:sz="8" w:space="0" w:color="auto"/>
            </w:tcBorders>
            <w:shd w:val="clear" w:color="auto" w:fill="auto"/>
            <w:vAlign w:val="center"/>
          </w:tcPr>
          <w:p w:rsidR="009F6B3D" w:rsidRPr="00793447" w:rsidRDefault="009F6B3D" w:rsidP="00840F25">
            <w:pPr>
              <w:spacing w:after="0" w:line="240" w:lineRule="auto"/>
              <w:jc w:val="center"/>
              <w:rPr>
                <w:rFonts w:asciiTheme="majorHAnsi" w:hAnsiTheme="majorHAnsi" w:cs="Arial"/>
                <w:b/>
                <w:bCs/>
                <w:sz w:val="24"/>
                <w:szCs w:val="24"/>
              </w:rPr>
            </w:pPr>
            <w:r w:rsidRPr="00793447">
              <w:rPr>
                <w:rFonts w:asciiTheme="majorHAnsi" w:hAnsiTheme="majorHAnsi" w:cs="Arial"/>
                <w:b/>
                <w:bCs/>
                <w:sz w:val="24"/>
                <w:szCs w:val="24"/>
              </w:rPr>
              <w:t>- % -</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b/>
                <w:bCs/>
                <w:color w:val="000000"/>
                <w:sz w:val="24"/>
                <w:szCs w:val="24"/>
              </w:rPr>
            </w:pPr>
            <w:r w:rsidRPr="00793447">
              <w:rPr>
                <w:rFonts w:asciiTheme="majorHAnsi" w:hAnsiTheme="majorHAnsi" w:cs="Calibri"/>
                <w:b/>
                <w:bCs/>
                <w:color w:val="000000"/>
                <w:sz w:val="24"/>
                <w:szCs w:val="24"/>
              </w:rPr>
              <w:t>Total - din care:</w:t>
            </w:r>
          </w:p>
        </w:tc>
        <w:tc>
          <w:tcPr>
            <w:tcW w:w="1261" w:type="dxa"/>
            <w:tcBorders>
              <w:top w:val="single" w:sz="8" w:space="0" w:color="auto"/>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232209</w:t>
            </w:r>
          </w:p>
        </w:tc>
        <w:tc>
          <w:tcPr>
            <w:tcW w:w="1206" w:type="dxa"/>
            <w:tcBorders>
              <w:top w:val="single" w:sz="8" w:space="0" w:color="auto"/>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276689</w:t>
            </w:r>
          </w:p>
        </w:tc>
        <w:tc>
          <w:tcPr>
            <w:tcW w:w="1491" w:type="dxa"/>
            <w:tcBorders>
              <w:top w:val="single" w:sz="8" w:space="0" w:color="auto"/>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119,2%</w:t>
            </w:r>
          </w:p>
        </w:tc>
        <w:tc>
          <w:tcPr>
            <w:tcW w:w="1202" w:type="dxa"/>
            <w:tcBorders>
              <w:top w:val="single" w:sz="8" w:space="0" w:color="auto"/>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464132</w:t>
            </w:r>
          </w:p>
        </w:tc>
        <w:tc>
          <w:tcPr>
            <w:tcW w:w="1148" w:type="dxa"/>
            <w:tcBorders>
              <w:top w:val="single" w:sz="8" w:space="0" w:color="auto"/>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558731</w:t>
            </w:r>
          </w:p>
        </w:tc>
        <w:tc>
          <w:tcPr>
            <w:tcW w:w="1417" w:type="dxa"/>
            <w:tcBorders>
              <w:top w:val="single" w:sz="8" w:space="0" w:color="auto"/>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120,4%</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Hoteluri</w:t>
            </w:r>
          </w:p>
        </w:tc>
        <w:tc>
          <w:tcPr>
            <w:tcW w:w="1261" w:type="dxa"/>
            <w:tcBorders>
              <w:top w:val="nil"/>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141215</w:t>
            </w:r>
          </w:p>
        </w:tc>
        <w:tc>
          <w:tcPr>
            <w:tcW w:w="1206"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173315</w:t>
            </w:r>
          </w:p>
        </w:tc>
        <w:tc>
          <w:tcPr>
            <w:tcW w:w="1491"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122,7%</w:t>
            </w:r>
          </w:p>
        </w:tc>
        <w:tc>
          <w:tcPr>
            <w:tcW w:w="1202"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290200</w:t>
            </w:r>
          </w:p>
        </w:tc>
        <w:tc>
          <w:tcPr>
            <w:tcW w:w="1148"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357627</w:t>
            </w:r>
          </w:p>
        </w:tc>
        <w:tc>
          <w:tcPr>
            <w:tcW w:w="1417"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123,2%</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Moteluri</w:t>
            </w:r>
          </w:p>
        </w:tc>
        <w:tc>
          <w:tcPr>
            <w:tcW w:w="1261" w:type="dxa"/>
            <w:tcBorders>
              <w:top w:val="nil"/>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6742</w:t>
            </w:r>
          </w:p>
        </w:tc>
        <w:tc>
          <w:tcPr>
            <w:tcW w:w="1206"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7411</w:t>
            </w:r>
          </w:p>
        </w:tc>
        <w:tc>
          <w:tcPr>
            <w:tcW w:w="1491"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109,9%</w:t>
            </w:r>
          </w:p>
        </w:tc>
        <w:tc>
          <w:tcPr>
            <w:tcW w:w="1202"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10816</w:t>
            </w:r>
          </w:p>
        </w:tc>
        <w:tc>
          <w:tcPr>
            <w:tcW w:w="1148"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12506</w:t>
            </w:r>
          </w:p>
        </w:tc>
        <w:tc>
          <w:tcPr>
            <w:tcW w:w="1417"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115,6%</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Vile turistice</w:t>
            </w:r>
          </w:p>
        </w:tc>
        <w:tc>
          <w:tcPr>
            <w:tcW w:w="1261" w:type="dxa"/>
            <w:tcBorders>
              <w:top w:val="nil"/>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18793</w:t>
            </w:r>
          </w:p>
        </w:tc>
        <w:tc>
          <w:tcPr>
            <w:tcW w:w="1206"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23231</w:t>
            </w:r>
          </w:p>
        </w:tc>
        <w:tc>
          <w:tcPr>
            <w:tcW w:w="1491"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123,6%</w:t>
            </w:r>
          </w:p>
        </w:tc>
        <w:tc>
          <w:tcPr>
            <w:tcW w:w="1202"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36461</w:t>
            </w:r>
          </w:p>
        </w:tc>
        <w:tc>
          <w:tcPr>
            <w:tcW w:w="1148"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44461</w:t>
            </w:r>
          </w:p>
        </w:tc>
        <w:tc>
          <w:tcPr>
            <w:tcW w:w="1417"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121,9%</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Cabane turistice</w:t>
            </w:r>
          </w:p>
        </w:tc>
        <w:tc>
          <w:tcPr>
            <w:tcW w:w="1261" w:type="dxa"/>
            <w:tcBorders>
              <w:top w:val="nil"/>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3955</w:t>
            </w:r>
          </w:p>
        </w:tc>
        <w:tc>
          <w:tcPr>
            <w:tcW w:w="1206"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3943</w:t>
            </w:r>
          </w:p>
        </w:tc>
        <w:tc>
          <w:tcPr>
            <w:tcW w:w="1491"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99,7%</w:t>
            </w:r>
          </w:p>
        </w:tc>
        <w:tc>
          <w:tcPr>
            <w:tcW w:w="1202"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6545</w:t>
            </w:r>
          </w:p>
        </w:tc>
        <w:tc>
          <w:tcPr>
            <w:tcW w:w="1148"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6696</w:t>
            </w:r>
          </w:p>
        </w:tc>
        <w:tc>
          <w:tcPr>
            <w:tcW w:w="1417"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102,3%</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Pensiuni turistice</w:t>
            </w:r>
          </w:p>
        </w:tc>
        <w:tc>
          <w:tcPr>
            <w:tcW w:w="1261" w:type="dxa"/>
            <w:tcBorders>
              <w:top w:val="nil"/>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24524</w:t>
            </w:r>
          </w:p>
        </w:tc>
        <w:tc>
          <w:tcPr>
            <w:tcW w:w="1206"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25251</w:t>
            </w:r>
          </w:p>
        </w:tc>
        <w:tc>
          <w:tcPr>
            <w:tcW w:w="1491"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103,0%</w:t>
            </w:r>
          </w:p>
        </w:tc>
        <w:tc>
          <w:tcPr>
            <w:tcW w:w="1202"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49486</w:t>
            </w:r>
          </w:p>
        </w:tc>
        <w:tc>
          <w:tcPr>
            <w:tcW w:w="1148"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52531</w:t>
            </w:r>
          </w:p>
        </w:tc>
        <w:tc>
          <w:tcPr>
            <w:tcW w:w="1417"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106,2%</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Pensiuni agroturistice</w:t>
            </w:r>
          </w:p>
        </w:tc>
        <w:tc>
          <w:tcPr>
            <w:tcW w:w="1261" w:type="dxa"/>
            <w:tcBorders>
              <w:top w:val="nil"/>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11125</w:t>
            </w:r>
          </w:p>
        </w:tc>
        <w:tc>
          <w:tcPr>
            <w:tcW w:w="1206"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11387</w:t>
            </w:r>
          </w:p>
        </w:tc>
        <w:tc>
          <w:tcPr>
            <w:tcW w:w="1491"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102,4%</w:t>
            </w:r>
          </w:p>
        </w:tc>
        <w:tc>
          <w:tcPr>
            <w:tcW w:w="1202"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19558</w:t>
            </w:r>
          </w:p>
        </w:tc>
        <w:tc>
          <w:tcPr>
            <w:tcW w:w="1148"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20648</w:t>
            </w:r>
          </w:p>
        </w:tc>
        <w:tc>
          <w:tcPr>
            <w:tcW w:w="1417"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105,6%</w:t>
            </w:r>
          </w:p>
        </w:tc>
      </w:tr>
      <w:tr w:rsidR="001A2CE4" w:rsidRPr="00793447" w:rsidTr="00653CD6">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1A2CE4" w:rsidRPr="00793447" w:rsidRDefault="001A2CE4" w:rsidP="00653CD6">
            <w:pPr>
              <w:spacing w:after="100" w:afterAutospacing="1"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Apartamente și camere de închiriat</w:t>
            </w:r>
          </w:p>
        </w:tc>
        <w:tc>
          <w:tcPr>
            <w:tcW w:w="1261" w:type="dxa"/>
            <w:tcBorders>
              <w:top w:val="nil"/>
              <w:left w:val="single" w:sz="4" w:space="0" w:color="auto"/>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22611</w:t>
            </w:r>
          </w:p>
        </w:tc>
        <w:tc>
          <w:tcPr>
            <w:tcW w:w="1206"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27626</w:t>
            </w:r>
          </w:p>
        </w:tc>
        <w:tc>
          <w:tcPr>
            <w:tcW w:w="1491"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122,2%</w:t>
            </w:r>
          </w:p>
        </w:tc>
        <w:tc>
          <w:tcPr>
            <w:tcW w:w="1202"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44702</w:t>
            </w:r>
          </w:p>
        </w:tc>
        <w:tc>
          <w:tcPr>
            <w:tcW w:w="1148" w:type="dxa"/>
            <w:tcBorders>
              <w:top w:val="nil"/>
              <w:left w:val="nil"/>
              <w:bottom w:val="single" w:sz="8" w:space="0" w:color="auto"/>
              <w:right w:val="single" w:sz="8" w:space="0" w:color="auto"/>
            </w:tcBorders>
            <w:shd w:val="clear" w:color="auto" w:fill="auto"/>
            <w:noWrap/>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54733</w:t>
            </w:r>
          </w:p>
        </w:tc>
        <w:tc>
          <w:tcPr>
            <w:tcW w:w="1417" w:type="dxa"/>
            <w:tcBorders>
              <w:top w:val="nil"/>
              <w:left w:val="nil"/>
              <w:bottom w:val="single" w:sz="8" w:space="0" w:color="auto"/>
              <w:right w:val="single" w:sz="8" w:space="0" w:color="auto"/>
            </w:tcBorders>
            <w:shd w:val="clear" w:color="auto" w:fill="auto"/>
            <w:vAlign w:val="bottom"/>
          </w:tcPr>
          <w:p w:rsidR="001A2CE4" w:rsidRPr="00793447" w:rsidRDefault="001A2CE4" w:rsidP="00653CD6">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122,4%</w:t>
            </w:r>
          </w:p>
        </w:tc>
      </w:tr>
    </w:tbl>
    <w:p w:rsidR="009F6B3D" w:rsidRPr="00793447" w:rsidRDefault="009F6B3D" w:rsidP="009F6B3D">
      <w:pPr>
        <w:autoSpaceDE w:val="0"/>
        <w:autoSpaceDN w:val="0"/>
        <w:adjustRightInd w:val="0"/>
        <w:spacing w:after="0" w:line="240" w:lineRule="auto"/>
        <w:ind w:left="-142" w:firstLine="709"/>
        <w:jc w:val="both"/>
        <w:rPr>
          <w:rFonts w:asciiTheme="majorHAnsi" w:hAnsiTheme="majorHAnsi"/>
          <w:color w:val="FF0000"/>
          <w:sz w:val="24"/>
          <w:szCs w:val="24"/>
        </w:rPr>
      </w:pPr>
    </w:p>
    <w:p w:rsidR="00B12DC3" w:rsidRPr="00793447" w:rsidRDefault="00B12DC3" w:rsidP="009F6B3D">
      <w:pPr>
        <w:autoSpaceDE w:val="0"/>
        <w:autoSpaceDN w:val="0"/>
        <w:adjustRightInd w:val="0"/>
        <w:spacing w:after="0" w:line="240" w:lineRule="auto"/>
        <w:ind w:left="-142" w:firstLine="709"/>
        <w:jc w:val="both"/>
        <w:rPr>
          <w:rFonts w:asciiTheme="majorHAnsi" w:hAnsiTheme="majorHAnsi"/>
          <w:color w:val="FF0000"/>
          <w:sz w:val="24"/>
          <w:szCs w:val="24"/>
        </w:rPr>
      </w:pPr>
    </w:p>
    <w:p w:rsidR="009F6B3D" w:rsidRPr="00793447" w:rsidRDefault="009F6B3D" w:rsidP="009F6B3D">
      <w:pPr>
        <w:autoSpaceDE w:val="0"/>
        <w:autoSpaceDN w:val="0"/>
        <w:adjustRightInd w:val="0"/>
        <w:spacing w:after="0" w:line="240" w:lineRule="auto"/>
        <w:ind w:left="-142" w:firstLine="709"/>
        <w:jc w:val="both"/>
        <w:rPr>
          <w:rFonts w:asciiTheme="majorHAnsi" w:hAnsiTheme="majorHAnsi"/>
          <w:sz w:val="24"/>
          <w:szCs w:val="24"/>
        </w:rPr>
      </w:pPr>
      <w:r w:rsidRPr="00793447">
        <w:rPr>
          <w:rFonts w:asciiTheme="majorHAnsi" w:hAnsiTheme="majorHAnsi"/>
          <w:sz w:val="24"/>
          <w:szCs w:val="24"/>
        </w:rPr>
        <w:t xml:space="preserve">Sosirile înregistrate în structurile de primire turistică din semestrul I </w:t>
      </w:r>
      <w:r w:rsidR="00583A47" w:rsidRPr="00793447">
        <w:rPr>
          <w:rFonts w:asciiTheme="majorHAnsi" w:hAnsiTheme="majorHAnsi"/>
          <w:sz w:val="24"/>
          <w:szCs w:val="24"/>
        </w:rPr>
        <w:t>2023</w:t>
      </w:r>
      <w:r w:rsidRPr="00793447">
        <w:rPr>
          <w:rFonts w:asciiTheme="majorHAnsi" w:hAnsiTheme="majorHAnsi"/>
          <w:sz w:val="24"/>
          <w:szCs w:val="24"/>
        </w:rPr>
        <w:t xml:space="preserve"> </w:t>
      </w:r>
      <w:r w:rsidRPr="00793447">
        <w:rPr>
          <w:rFonts w:asciiTheme="majorHAnsi" w:hAnsiTheme="majorHAnsi" w:cs="Calibri"/>
          <w:sz w:val="24"/>
          <w:szCs w:val="24"/>
        </w:rPr>
        <w:t xml:space="preserve">au însumat </w:t>
      </w:r>
      <w:r w:rsidR="003944AE" w:rsidRPr="00793447">
        <w:rPr>
          <w:rFonts w:asciiTheme="majorHAnsi" w:hAnsiTheme="majorHAnsi"/>
          <w:sz w:val="24"/>
          <w:szCs w:val="24"/>
        </w:rPr>
        <w:t>276689</w:t>
      </w:r>
      <w:r w:rsidR="008B0E4B" w:rsidRPr="00793447">
        <w:rPr>
          <w:rFonts w:asciiTheme="majorHAnsi" w:hAnsiTheme="majorHAnsi"/>
          <w:sz w:val="24"/>
          <w:szCs w:val="24"/>
        </w:rPr>
        <w:t xml:space="preserve"> </w:t>
      </w:r>
      <w:r w:rsidRPr="00793447">
        <w:rPr>
          <w:rFonts w:asciiTheme="majorHAnsi" w:hAnsiTheme="majorHAnsi"/>
          <w:sz w:val="24"/>
          <w:szCs w:val="24"/>
        </w:rPr>
        <w:t xml:space="preserve">turişti, în  creştere faţă de semestrul I </w:t>
      </w:r>
      <w:r w:rsidR="00583A47" w:rsidRPr="00793447">
        <w:rPr>
          <w:rFonts w:asciiTheme="majorHAnsi" w:hAnsiTheme="majorHAnsi"/>
          <w:sz w:val="24"/>
          <w:szCs w:val="24"/>
        </w:rPr>
        <w:t>2022</w:t>
      </w:r>
      <w:r w:rsidRPr="00793447">
        <w:rPr>
          <w:rFonts w:asciiTheme="majorHAnsi" w:hAnsiTheme="majorHAnsi"/>
          <w:sz w:val="24"/>
          <w:szCs w:val="24"/>
        </w:rPr>
        <w:t xml:space="preserve"> cu </w:t>
      </w:r>
      <w:r w:rsidR="003944AE" w:rsidRPr="00793447">
        <w:rPr>
          <w:rFonts w:asciiTheme="majorHAnsi" w:hAnsiTheme="majorHAnsi"/>
          <w:sz w:val="24"/>
          <w:szCs w:val="24"/>
        </w:rPr>
        <w:t>44480</w:t>
      </w:r>
      <w:r w:rsidRPr="00793447">
        <w:rPr>
          <w:rFonts w:asciiTheme="majorHAnsi" w:hAnsiTheme="majorHAnsi"/>
          <w:sz w:val="24"/>
          <w:szCs w:val="24"/>
        </w:rPr>
        <w:t xml:space="preserve"> persoane.</w:t>
      </w:r>
    </w:p>
    <w:p w:rsidR="00B12DC3" w:rsidRPr="00793447" w:rsidRDefault="00B12DC3" w:rsidP="009F6B3D">
      <w:pPr>
        <w:autoSpaceDE w:val="0"/>
        <w:autoSpaceDN w:val="0"/>
        <w:adjustRightInd w:val="0"/>
        <w:spacing w:after="0" w:line="240" w:lineRule="auto"/>
        <w:ind w:left="-142" w:firstLine="709"/>
        <w:jc w:val="both"/>
        <w:rPr>
          <w:rFonts w:asciiTheme="majorHAnsi" w:hAnsiTheme="majorHAnsi"/>
          <w:sz w:val="24"/>
          <w:szCs w:val="24"/>
        </w:rPr>
      </w:pPr>
    </w:p>
    <w:p w:rsidR="009F6B3D" w:rsidRPr="00793447" w:rsidRDefault="009F6B3D" w:rsidP="009F6B3D">
      <w:pPr>
        <w:autoSpaceDE w:val="0"/>
        <w:autoSpaceDN w:val="0"/>
        <w:adjustRightInd w:val="0"/>
        <w:spacing w:after="0" w:line="240" w:lineRule="auto"/>
        <w:ind w:left="-142" w:firstLine="709"/>
        <w:jc w:val="both"/>
        <w:rPr>
          <w:rFonts w:asciiTheme="majorHAnsi" w:hAnsiTheme="majorHAnsi"/>
          <w:sz w:val="24"/>
          <w:szCs w:val="24"/>
        </w:rPr>
      </w:pPr>
      <w:r w:rsidRPr="00793447">
        <w:rPr>
          <w:rFonts w:asciiTheme="majorHAnsi" w:hAnsiTheme="majorHAnsi"/>
          <w:sz w:val="24"/>
          <w:szCs w:val="24"/>
        </w:rPr>
        <w:t xml:space="preserve">Din numărul total de sosiri înregistrate în Prahova, </w:t>
      </w:r>
      <w:r w:rsidR="003944AE" w:rsidRPr="00793447">
        <w:rPr>
          <w:rFonts w:asciiTheme="majorHAnsi" w:hAnsiTheme="majorHAnsi"/>
          <w:sz w:val="24"/>
          <w:szCs w:val="24"/>
        </w:rPr>
        <w:t>252262</w:t>
      </w:r>
      <w:r w:rsidR="00CF2603" w:rsidRPr="00793447">
        <w:rPr>
          <w:rFonts w:asciiTheme="majorHAnsi" w:hAnsiTheme="majorHAnsi"/>
          <w:sz w:val="24"/>
          <w:szCs w:val="24"/>
        </w:rPr>
        <w:t xml:space="preserve"> </w:t>
      </w:r>
      <w:r w:rsidRPr="00793447">
        <w:rPr>
          <w:rFonts w:asciiTheme="majorHAnsi" w:hAnsiTheme="majorHAnsi"/>
          <w:sz w:val="24"/>
          <w:szCs w:val="24"/>
        </w:rPr>
        <w:t xml:space="preserve">au fost sosiri ale turiştilor români şi </w:t>
      </w:r>
      <w:r w:rsidR="003944AE" w:rsidRPr="00793447">
        <w:rPr>
          <w:rFonts w:asciiTheme="majorHAnsi" w:hAnsiTheme="majorHAnsi"/>
          <w:sz w:val="24"/>
          <w:szCs w:val="24"/>
        </w:rPr>
        <w:t>24427</w:t>
      </w:r>
      <w:r w:rsidR="00AA0B71" w:rsidRPr="00793447">
        <w:rPr>
          <w:rFonts w:asciiTheme="majorHAnsi" w:hAnsiTheme="majorHAnsi"/>
          <w:sz w:val="24"/>
          <w:szCs w:val="24"/>
        </w:rPr>
        <w:t xml:space="preserve"> </w:t>
      </w:r>
      <w:r w:rsidRPr="00793447">
        <w:rPr>
          <w:rFonts w:asciiTheme="majorHAnsi" w:hAnsiTheme="majorHAnsi"/>
          <w:sz w:val="24"/>
          <w:szCs w:val="24"/>
        </w:rPr>
        <w:t>sosiri ale turiştilor străini.</w:t>
      </w:r>
    </w:p>
    <w:p w:rsidR="00B12DC3" w:rsidRPr="00793447" w:rsidRDefault="00B12DC3" w:rsidP="009F6B3D">
      <w:pPr>
        <w:autoSpaceDE w:val="0"/>
        <w:autoSpaceDN w:val="0"/>
        <w:adjustRightInd w:val="0"/>
        <w:spacing w:after="0" w:line="240" w:lineRule="auto"/>
        <w:ind w:left="-142" w:firstLine="709"/>
        <w:jc w:val="both"/>
        <w:rPr>
          <w:rFonts w:asciiTheme="majorHAnsi" w:hAnsiTheme="majorHAnsi"/>
          <w:sz w:val="24"/>
          <w:szCs w:val="24"/>
        </w:rPr>
      </w:pPr>
    </w:p>
    <w:p w:rsidR="009F6B3D" w:rsidRPr="00793447" w:rsidRDefault="009F6B3D" w:rsidP="009F6B3D">
      <w:pPr>
        <w:autoSpaceDE w:val="0"/>
        <w:autoSpaceDN w:val="0"/>
        <w:adjustRightInd w:val="0"/>
        <w:spacing w:after="0" w:line="240" w:lineRule="auto"/>
        <w:ind w:left="-142" w:firstLine="709"/>
        <w:jc w:val="both"/>
        <w:rPr>
          <w:rFonts w:asciiTheme="majorHAnsi" w:hAnsiTheme="majorHAnsi"/>
          <w:sz w:val="24"/>
          <w:szCs w:val="24"/>
        </w:rPr>
      </w:pPr>
      <w:r w:rsidRPr="00793447">
        <w:rPr>
          <w:rFonts w:asciiTheme="majorHAnsi" w:hAnsiTheme="majorHAnsi"/>
          <w:sz w:val="24"/>
          <w:szCs w:val="24"/>
        </w:rPr>
        <w:t>Numărul cel mai mare de sosiri a fost înregistrat în hoteluri, respectiv</w:t>
      </w:r>
      <w:r w:rsidR="008B0E4B" w:rsidRPr="00793447">
        <w:rPr>
          <w:rFonts w:asciiTheme="majorHAnsi" w:hAnsiTheme="majorHAnsi"/>
          <w:sz w:val="24"/>
          <w:szCs w:val="24"/>
        </w:rPr>
        <w:t xml:space="preserve"> </w:t>
      </w:r>
      <w:r w:rsidR="003944AE" w:rsidRPr="00793447">
        <w:rPr>
          <w:rFonts w:asciiTheme="majorHAnsi" w:hAnsiTheme="majorHAnsi"/>
          <w:sz w:val="24"/>
          <w:szCs w:val="24"/>
        </w:rPr>
        <w:t>173315</w:t>
      </w:r>
      <w:r w:rsidRPr="00793447">
        <w:rPr>
          <w:rFonts w:asciiTheme="majorHAnsi" w:hAnsiTheme="majorHAnsi"/>
          <w:sz w:val="24"/>
          <w:szCs w:val="24"/>
        </w:rPr>
        <w:t xml:space="preserve">  persoane, reprezentând </w:t>
      </w:r>
      <w:r w:rsidR="003944AE" w:rsidRPr="00793447">
        <w:rPr>
          <w:rFonts w:asciiTheme="majorHAnsi" w:hAnsiTheme="majorHAnsi"/>
          <w:sz w:val="24"/>
          <w:szCs w:val="24"/>
        </w:rPr>
        <w:t>62,6</w:t>
      </w:r>
      <w:r w:rsidRPr="00793447">
        <w:rPr>
          <w:rFonts w:asciiTheme="majorHAnsi" w:hAnsiTheme="majorHAnsi"/>
          <w:sz w:val="24"/>
          <w:szCs w:val="24"/>
        </w:rPr>
        <w:t>% din total.</w:t>
      </w:r>
    </w:p>
    <w:p w:rsidR="00B12DC3" w:rsidRPr="00793447" w:rsidRDefault="00B12DC3" w:rsidP="009F6B3D">
      <w:pPr>
        <w:autoSpaceDE w:val="0"/>
        <w:autoSpaceDN w:val="0"/>
        <w:adjustRightInd w:val="0"/>
        <w:spacing w:after="0" w:line="240" w:lineRule="auto"/>
        <w:ind w:firstLine="567"/>
        <w:jc w:val="both"/>
        <w:rPr>
          <w:rFonts w:asciiTheme="majorHAnsi" w:hAnsiTheme="majorHAnsi"/>
          <w:sz w:val="24"/>
          <w:szCs w:val="24"/>
        </w:rPr>
      </w:pPr>
    </w:p>
    <w:p w:rsidR="009F6B3D" w:rsidRPr="00793447" w:rsidRDefault="009F6B3D" w:rsidP="009F6B3D">
      <w:pPr>
        <w:autoSpaceDE w:val="0"/>
        <w:autoSpaceDN w:val="0"/>
        <w:adjustRightInd w:val="0"/>
        <w:spacing w:after="0" w:line="240" w:lineRule="auto"/>
        <w:ind w:firstLine="567"/>
        <w:jc w:val="both"/>
        <w:rPr>
          <w:rFonts w:asciiTheme="majorHAnsi" w:hAnsiTheme="majorHAnsi"/>
          <w:sz w:val="24"/>
          <w:szCs w:val="24"/>
        </w:rPr>
      </w:pPr>
      <w:r w:rsidRPr="00793447">
        <w:rPr>
          <w:rFonts w:asciiTheme="majorHAnsi" w:hAnsiTheme="majorHAnsi"/>
          <w:sz w:val="24"/>
          <w:szCs w:val="24"/>
        </w:rPr>
        <w:t xml:space="preserve">Înnoptările  înregistrate în structurile de primire turistică în semestrul I </w:t>
      </w:r>
      <w:r w:rsidR="00583A47" w:rsidRPr="00793447">
        <w:rPr>
          <w:rFonts w:asciiTheme="majorHAnsi" w:hAnsiTheme="majorHAnsi"/>
          <w:sz w:val="24"/>
          <w:szCs w:val="24"/>
        </w:rPr>
        <w:t>2023</w:t>
      </w:r>
      <w:r w:rsidRPr="00793447">
        <w:rPr>
          <w:rFonts w:asciiTheme="majorHAnsi" w:hAnsiTheme="majorHAnsi"/>
          <w:sz w:val="24"/>
          <w:szCs w:val="24"/>
        </w:rPr>
        <w:t xml:space="preserve"> au fost de</w:t>
      </w:r>
      <w:r w:rsidR="006F4DD9" w:rsidRPr="00793447">
        <w:rPr>
          <w:rFonts w:asciiTheme="majorHAnsi" w:hAnsiTheme="majorHAnsi"/>
          <w:sz w:val="24"/>
          <w:szCs w:val="24"/>
        </w:rPr>
        <w:t xml:space="preserve"> </w:t>
      </w:r>
      <w:r w:rsidR="003944AE" w:rsidRPr="00793447">
        <w:rPr>
          <w:rFonts w:asciiTheme="majorHAnsi" w:hAnsiTheme="majorHAnsi"/>
          <w:sz w:val="24"/>
          <w:szCs w:val="24"/>
        </w:rPr>
        <w:t>558731</w:t>
      </w:r>
      <w:r w:rsidRPr="00793447">
        <w:rPr>
          <w:rFonts w:asciiTheme="majorHAnsi" w:hAnsiTheme="majorHAnsi"/>
          <w:sz w:val="24"/>
          <w:szCs w:val="24"/>
        </w:rPr>
        <w:t>, în creştere cu</w:t>
      </w:r>
      <w:r w:rsidR="006F4DD9" w:rsidRPr="00793447">
        <w:rPr>
          <w:rFonts w:asciiTheme="majorHAnsi" w:hAnsiTheme="majorHAnsi"/>
          <w:sz w:val="24"/>
          <w:szCs w:val="24"/>
        </w:rPr>
        <w:t xml:space="preserve"> </w:t>
      </w:r>
      <w:r w:rsidR="003944AE" w:rsidRPr="00793447">
        <w:rPr>
          <w:rFonts w:asciiTheme="majorHAnsi" w:hAnsiTheme="majorHAnsi"/>
          <w:sz w:val="24"/>
          <w:szCs w:val="24"/>
        </w:rPr>
        <w:t>94599</w:t>
      </w:r>
      <w:r w:rsidR="006F4DD9" w:rsidRPr="00793447">
        <w:rPr>
          <w:rFonts w:asciiTheme="majorHAnsi" w:hAnsiTheme="majorHAnsi"/>
          <w:sz w:val="24"/>
          <w:szCs w:val="24"/>
        </w:rPr>
        <w:t xml:space="preserve"> </w:t>
      </w:r>
      <w:r w:rsidRPr="00793447">
        <w:rPr>
          <w:rFonts w:asciiTheme="majorHAnsi" w:hAnsiTheme="majorHAnsi"/>
          <w:sz w:val="24"/>
          <w:szCs w:val="24"/>
        </w:rPr>
        <w:t xml:space="preserve">faţă de cele din semestrul I </w:t>
      </w:r>
      <w:r w:rsidR="00583A47" w:rsidRPr="00793447">
        <w:rPr>
          <w:rFonts w:asciiTheme="majorHAnsi" w:hAnsiTheme="majorHAnsi"/>
          <w:sz w:val="24"/>
          <w:szCs w:val="24"/>
        </w:rPr>
        <w:t>2022</w:t>
      </w:r>
      <w:r w:rsidRPr="00793447">
        <w:rPr>
          <w:rFonts w:asciiTheme="majorHAnsi" w:hAnsiTheme="majorHAnsi"/>
          <w:sz w:val="24"/>
          <w:szCs w:val="24"/>
        </w:rPr>
        <w:t>.</w:t>
      </w:r>
    </w:p>
    <w:p w:rsidR="00B12DC3" w:rsidRPr="00793447" w:rsidRDefault="00B12DC3" w:rsidP="009F6B3D">
      <w:pPr>
        <w:autoSpaceDE w:val="0"/>
        <w:autoSpaceDN w:val="0"/>
        <w:adjustRightInd w:val="0"/>
        <w:spacing w:after="0" w:line="240" w:lineRule="auto"/>
        <w:ind w:firstLine="567"/>
        <w:jc w:val="both"/>
        <w:rPr>
          <w:rFonts w:asciiTheme="majorHAnsi" w:hAnsiTheme="majorHAnsi"/>
          <w:sz w:val="24"/>
          <w:szCs w:val="24"/>
        </w:rPr>
      </w:pPr>
    </w:p>
    <w:p w:rsidR="009F6B3D" w:rsidRPr="00793447" w:rsidRDefault="009F6B3D" w:rsidP="009F6B3D">
      <w:pPr>
        <w:autoSpaceDE w:val="0"/>
        <w:autoSpaceDN w:val="0"/>
        <w:adjustRightInd w:val="0"/>
        <w:spacing w:after="0" w:line="240" w:lineRule="auto"/>
        <w:ind w:firstLine="567"/>
        <w:jc w:val="both"/>
        <w:rPr>
          <w:rFonts w:asciiTheme="majorHAnsi" w:hAnsiTheme="majorHAnsi"/>
          <w:sz w:val="24"/>
          <w:szCs w:val="24"/>
        </w:rPr>
      </w:pPr>
      <w:r w:rsidRPr="00793447">
        <w:rPr>
          <w:rFonts w:asciiTheme="majorHAnsi" w:hAnsiTheme="majorHAnsi"/>
          <w:sz w:val="24"/>
          <w:szCs w:val="24"/>
        </w:rPr>
        <w:t xml:space="preserve">Din numărul total al înnoptărilor înregistrate în judeţul Prahova, </w:t>
      </w:r>
      <w:r w:rsidR="00653CD6" w:rsidRPr="00793447">
        <w:rPr>
          <w:rFonts w:asciiTheme="majorHAnsi" w:hAnsiTheme="majorHAnsi"/>
          <w:sz w:val="24"/>
          <w:szCs w:val="24"/>
        </w:rPr>
        <w:t>89,2</w:t>
      </w:r>
      <w:r w:rsidRPr="00793447">
        <w:rPr>
          <w:rFonts w:asciiTheme="majorHAnsi" w:hAnsiTheme="majorHAnsi"/>
          <w:sz w:val="24"/>
          <w:szCs w:val="24"/>
        </w:rPr>
        <w:t xml:space="preserve">% reprezintă înnoptări ale turiştilor români, iar </w:t>
      </w:r>
      <w:r w:rsidR="00653CD6" w:rsidRPr="00793447">
        <w:rPr>
          <w:rFonts w:asciiTheme="majorHAnsi" w:hAnsiTheme="majorHAnsi"/>
          <w:sz w:val="24"/>
          <w:szCs w:val="24"/>
        </w:rPr>
        <w:t>10,8</w:t>
      </w:r>
      <w:r w:rsidRPr="00793447">
        <w:rPr>
          <w:rFonts w:asciiTheme="majorHAnsi" w:hAnsiTheme="majorHAnsi"/>
          <w:sz w:val="24"/>
          <w:szCs w:val="24"/>
        </w:rPr>
        <w:t xml:space="preserve">% înnoptări ale turiştilor străini. </w:t>
      </w:r>
    </w:p>
    <w:p w:rsidR="00B12DC3" w:rsidRPr="00793447" w:rsidRDefault="00B12DC3" w:rsidP="009F6B3D">
      <w:pPr>
        <w:autoSpaceDE w:val="0"/>
        <w:autoSpaceDN w:val="0"/>
        <w:adjustRightInd w:val="0"/>
        <w:spacing w:after="0" w:line="240" w:lineRule="auto"/>
        <w:ind w:firstLine="567"/>
        <w:jc w:val="both"/>
        <w:rPr>
          <w:rFonts w:asciiTheme="majorHAnsi" w:hAnsiTheme="majorHAnsi"/>
          <w:sz w:val="24"/>
          <w:szCs w:val="24"/>
        </w:rPr>
      </w:pPr>
    </w:p>
    <w:p w:rsidR="00B12DC3" w:rsidRPr="00793447" w:rsidRDefault="00B12DC3" w:rsidP="009F6B3D">
      <w:pPr>
        <w:autoSpaceDE w:val="0"/>
        <w:autoSpaceDN w:val="0"/>
        <w:adjustRightInd w:val="0"/>
        <w:spacing w:after="0" w:line="240" w:lineRule="auto"/>
        <w:ind w:firstLine="567"/>
        <w:jc w:val="both"/>
        <w:rPr>
          <w:rFonts w:asciiTheme="majorHAnsi" w:hAnsiTheme="majorHAnsi"/>
          <w:sz w:val="24"/>
          <w:szCs w:val="24"/>
        </w:rPr>
      </w:pPr>
    </w:p>
    <w:p w:rsidR="00B12DC3" w:rsidRPr="00793447" w:rsidRDefault="00B12DC3" w:rsidP="009F6B3D">
      <w:pPr>
        <w:autoSpaceDE w:val="0"/>
        <w:autoSpaceDN w:val="0"/>
        <w:adjustRightInd w:val="0"/>
        <w:spacing w:after="0" w:line="240" w:lineRule="auto"/>
        <w:ind w:firstLine="567"/>
        <w:jc w:val="both"/>
        <w:rPr>
          <w:rFonts w:asciiTheme="majorHAnsi" w:hAnsiTheme="majorHAnsi"/>
          <w:sz w:val="24"/>
          <w:szCs w:val="24"/>
        </w:rPr>
      </w:pPr>
    </w:p>
    <w:p w:rsidR="00B12DC3" w:rsidRPr="00793447" w:rsidRDefault="00B12DC3" w:rsidP="009F6B3D">
      <w:pPr>
        <w:autoSpaceDE w:val="0"/>
        <w:autoSpaceDN w:val="0"/>
        <w:adjustRightInd w:val="0"/>
        <w:spacing w:after="0" w:line="240" w:lineRule="auto"/>
        <w:ind w:firstLine="567"/>
        <w:jc w:val="both"/>
        <w:rPr>
          <w:rFonts w:asciiTheme="majorHAnsi" w:hAnsiTheme="majorHAnsi"/>
          <w:sz w:val="24"/>
          <w:szCs w:val="24"/>
        </w:rPr>
      </w:pPr>
    </w:p>
    <w:p w:rsidR="009F6B3D" w:rsidRPr="00793447" w:rsidRDefault="009F6B3D" w:rsidP="009F6B3D">
      <w:pPr>
        <w:autoSpaceDE w:val="0"/>
        <w:autoSpaceDN w:val="0"/>
        <w:adjustRightInd w:val="0"/>
        <w:spacing w:after="0" w:line="240" w:lineRule="auto"/>
        <w:jc w:val="center"/>
        <w:rPr>
          <w:rFonts w:asciiTheme="majorHAnsi" w:hAnsiTheme="majorHAnsi"/>
          <w:b/>
          <w:color w:val="FF0000"/>
          <w:sz w:val="24"/>
          <w:szCs w:val="24"/>
          <w:lang w:val="ro-RO"/>
        </w:rPr>
      </w:pPr>
      <w:r w:rsidRPr="00793447">
        <w:rPr>
          <w:rFonts w:asciiTheme="majorHAnsi" w:hAnsiTheme="majorHAnsi"/>
          <w:noProof/>
          <w:color w:val="FF0000"/>
          <w:sz w:val="24"/>
          <w:szCs w:val="24"/>
        </w:rPr>
        <w:drawing>
          <wp:inline distT="0" distB="0" distL="0" distR="0" wp14:anchorId="5F17A945" wp14:editId="29C5A99D">
            <wp:extent cx="5843905" cy="7517080"/>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B12DC3" w:rsidRPr="00793447" w:rsidRDefault="00B12DC3" w:rsidP="009F6B3D">
      <w:pPr>
        <w:autoSpaceDE w:val="0"/>
        <w:autoSpaceDN w:val="0"/>
        <w:adjustRightInd w:val="0"/>
        <w:spacing w:after="0" w:line="240" w:lineRule="auto"/>
        <w:ind w:left="-142"/>
        <w:rPr>
          <w:rFonts w:asciiTheme="majorHAnsi" w:hAnsiTheme="majorHAnsi"/>
          <w:b/>
          <w:color w:val="FF0000"/>
          <w:sz w:val="24"/>
          <w:szCs w:val="24"/>
        </w:rPr>
      </w:pPr>
    </w:p>
    <w:p w:rsidR="00B12DC3" w:rsidRPr="00793447" w:rsidRDefault="00B12DC3" w:rsidP="009F6B3D">
      <w:pPr>
        <w:autoSpaceDE w:val="0"/>
        <w:autoSpaceDN w:val="0"/>
        <w:adjustRightInd w:val="0"/>
        <w:spacing w:after="0" w:line="240" w:lineRule="auto"/>
        <w:ind w:left="-142"/>
        <w:rPr>
          <w:rFonts w:asciiTheme="majorHAnsi" w:hAnsiTheme="majorHAnsi"/>
          <w:b/>
          <w:color w:val="FF0000"/>
          <w:sz w:val="24"/>
          <w:szCs w:val="24"/>
        </w:rPr>
      </w:pPr>
    </w:p>
    <w:p w:rsidR="00B12DC3" w:rsidRPr="00793447" w:rsidRDefault="00B12DC3" w:rsidP="009F6B3D">
      <w:pPr>
        <w:autoSpaceDE w:val="0"/>
        <w:autoSpaceDN w:val="0"/>
        <w:adjustRightInd w:val="0"/>
        <w:spacing w:after="0" w:line="240" w:lineRule="auto"/>
        <w:ind w:left="-142"/>
        <w:rPr>
          <w:rFonts w:asciiTheme="majorHAnsi" w:hAnsiTheme="majorHAnsi"/>
          <w:b/>
          <w:color w:val="FF0000"/>
          <w:sz w:val="24"/>
          <w:szCs w:val="24"/>
        </w:rPr>
      </w:pPr>
    </w:p>
    <w:p w:rsidR="00B12DC3" w:rsidRPr="00793447" w:rsidRDefault="00B12DC3" w:rsidP="009F6B3D">
      <w:pPr>
        <w:autoSpaceDE w:val="0"/>
        <w:autoSpaceDN w:val="0"/>
        <w:adjustRightInd w:val="0"/>
        <w:spacing w:after="0" w:line="240" w:lineRule="auto"/>
        <w:ind w:left="-142"/>
        <w:rPr>
          <w:rFonts w:asciiTheme="majorHAnsi" w:hAnsiTheme="majorHAnsi"/>
          <w:b/>
          <w:color w:val="FF0000"/>
          <w:sz w:val="24"/>
          <w:szCs w:val="24"/>
        </w:rPr>
      </w:pPr>
    </w:p>
    <w:p w:rsidR="00B12DC3" w:rsidRPr="00793447" w:rsidRDefault="00B12DC3" w:rsidP="009F6B3D">
      <w:pPr>
        <w:autoSpaceDE w:val="0"/>
        <w:autoSpaceDN w:val="0"/>
        <w:adjustRightInd w:val="0"/>
        <w:spacing w:after="0" w:line="240" w:lineRule="auto"/>
        <w:ind w:left="-142"/>
        <w:rPr>
          <w:rFonts w:asciiTheme="majorHAnsi" w:hAnsiTheme="majorHAnsi"/>
          <w:b/>
          <w:color w:val="FF0000"/>
          <w:sz w:val="24"/>
          <w:szCs w:val="24"/>
        </w:rPr>
      </w:pP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BF6011" w:rsidRPr="00793447" w:rsidRDefault="009F6B3D" w:rsidP="00BF6011">
      <w:pPr>
        <w:spacing w:after="0" w:line="240" w:lineRule="auto"/>
        <w:jc w:val="center"/>
        <w:rPr>
          <w:rFonts w:asciiTheme="majorHAnsi" w:hAnsiTheme="majorHAnsi"/>
          <w:b/>
          <w:sz w:val="24"/>
          <w:szCs w:val="24"/>
        </w:rPr>
      </w:pPr>
      <w:r w:rsidRPr="00793447">
        <w:rPr>
          <w:rFonts w:asciiTheme="majorHAnsi" w:hAnsiTheme="majorHAnsi"/>
          <w:b/>
          <w:sz w:val="24"/>
          <w:szCs w:val="24"/>
        </w:rPr>
        <w:t xml:space="preserve">Sosiri ale turiștilor în structuri de primire turistică pe tipuri de structuri, </w:t>
      </w:r>
      <w:r w:rsidR="00BF6011" w:rsidRPr="00793447">
        <w:rPr>
          <w:rFonts w:asciiTheme="majorHAnsi" w:hAnsiTheme="majorHAnsi"/>
          <w:b/>
          <w:sz w:val="24"/>
          <w:szCs w:val="24"/>
        </w:rPr>
        <w:t xml:space="preserve">   </w:t>
      </w:r>
    </w:p>
    <w:p w:rsidR="009F6B3D" w:rsidRPr="00793447" w:rsidRDefault="009F6B3D" w:rsidP="00BF6011">
      <w:pPr>
        <w:spacing w:after="0" w:line="240" w:lineRule="auto"/>
        <w:jc w:val="center"/>
        <w:rPr>
          <w:rFonts w:asciiTheme="majorHAnsi" w:hAnsiTheme="majorHAnsi"/>
          <w:b/>
          <w:sz w:val="24"/>
          <w:szCs w:val="24"/>
        </w:rPr>
      </w:pPr>
      <w:r w:rsidRPr="00793447">
        <w:rPr>
          <w:rFonts w:asciiTheme="majorHAnsi" w:hAnsiTheme="majorHAnsi"/>
          <w:b/>
          <w:sz w:val="24"/>
          <w:szCs w:val="24"/>
        </w:rPr>
        <w:t xml:space="preserve">în semestrul I </w:t>
      </w:r>
      <w:r w:rsidR="00583A47" w:rsidRPr="00793447">
        <w:rPr>
          <w:rFonts w:asciiTheme="majorHAnsi" w:hAnsiTheme="majorHAnsi"/>
          <w:b/>
          <w:sz w:val="24"/>
          <w:szCs w:val="24"/>
        </w:rPr>
        <w:t>2023</w:t>
      </w:r>
    </w:p>
    <w:p w:rsidR="007E1E2B" w:rsidRPr="00793447" w:rsidRDefault="007E1E2B" w:rsidP="00BF6011">
      <w:pPr>
        <w:spacing w:after="0" w:line="240" w:lineRule="auto"/>
        <w:jc w:val="center"/>
        <w:rPr>
          <w:rFonts w:asciiTheme="majorHAnsi" w:hAnsiTheme="majorHAnsi"/>
          <w:b/>
          <w:sz w:val="24"/>
          <w:szCs w:val="24"/>
        </w:rPr>
      </w:pPr>
    </w:p>
    <w:p w:rsidR="007E1E2B" w:rsidRPr="00793447" w:rsidRDefault="007E1E2B" w:rsidP="00BF6011">
      <w:pPr>
        <w:spacing w:after="0" w:line="240" w:lineRule="auto"/>
        <w:jc w:val="center"/>
        <w:rPr>
          <w:rFonts w:asciiTheme="majorHAnsi" w:hAnsiTheme="majorHAnsi"/>
          <w:b/>
          <w:sz w:val="24"/>
          <w:szCs w:val="24"/>
        </w:rPr>
      </w:pPr>
      <w:r w:rsidRPr="00793447">
        <w:rPr>
          <w:rFonts w:asciiTheme="majorHAnsi" w:hAnsiTheme="majorHAnsi"/>
          <w:b/>
          <w:noProof/>
          <w:sz w:val="24"/>
          <w:szCs w:val="24"/>
        </w:rPr>
        <w:drawing>
          <wp:inline distT="0" distB="0" distL="0" distR="0">
            <wp:extent cx="5812404"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E1E2B" w:rsidRPr="00793447" w:rsidRDefault="007E1E2B" w:rsidP="00BF6011">
      <w:pPr>
        <w:spacing w:after="0" w:line="240" w:lineRule="auto"/>
        <w:jc w:val="center"/>
        <w:rPr>
          <w:rFonts w:asciiTheme="majorHAnsi" w:hAnsiTheme="majorHAnsi"/>
          <w:b/>
          <w:sz w:val="24"/>
          <w:szCs w:val="24"/>
        </w:rPr>
      </w:pPr>
    </w:p>
    <w:p w:rsidR="007E1E2B" w:rsidRPr="00793447" w:rsidRDefault="007E1E2B" w:rsidP="00BF6011">
      <w:pPr>
        <w:spacing w:after="0" w:line="240" w:lineRule="auto"/>
        <w:jc w:val="center"/>
        <w:rPr>
          <w:rFonts w:asciiTheme="majorHAnsi" w:hAnsiTheme="majorHAnsi"/>
          <w:b/>
          <w:sz w:val="24"/>
          <w:szCs w:val="24"/>
        </w:rPr>
      </w:pP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9F6B3D" w:rsidRPr="00793447" w:rsidRDefault="009F6B3D" w:rsidP="009F6B3D">
      <w:pPr>
        <w:autoSpaceDE w:val="0"/>
        <w:autoSpaceDN w:val="0"/>
        <w:adjustRightInd w:val="0"/>
        <w:spacing w:after="0" w:line="240" w:lineRule="auto"/>
        <w:ind w:left="-142"/>
        <w:rPr>
          <w:rFonts w:asciiTheme="majorHAnsi" w:hAnsiTheme="majorHAnsi"/>
          <w:b/>
          <w:color w:val="FF0000"/>
          <w:sz w:val="24"/>
          <w:szCs w:val="24"/>
        </w:rPr>
      </w:pPr>
    </w:p>
    <w:p w:rsidR="009F6B3D" w:rsidRPr="00793447" w:rsidRDefault="009F6B3D" w:rsidP="009F6B3D">
      <w:pPr>
        <w:autoSpaceDE w:val="0"/>
        <w:autoSpaceDN w:val="0"/>
        <w:adjustRightInd w:val="0"/>
        <w:spacing w:after="0" w:line="240" w:lineRule="auto"/>
        <w:ind w:left="-142"/>
        <w:jc w:val="center"/>
        <w:rPr>
          <w:rFonts w:asciiTheme="majorHAnsi" w:hAnsiTheme="majorHAnsi"/>
          <w:b/>
          <w:sz w:val="24"/>
          <w:szCs w:val="24"/>
        </w:rPr>
      </w:pPr>
      <w:r w:rsidRPr="00793447">
        <w:rPr>
          <w:rFonts w:asciiTheme="majorHAnsi" w:hAnsiTheme="majorHAnsi"/>
          <w:b/>
          <w:sz w:val="24"/>
          <w:szCs w:val="24"/>
        </w:rPr>
        <w:t xml:space="preserve">Evoluţia indicelui de utilizare netă din judeţul Prahova şi România </w:t>
      </w:r>
    </w:p>
    <w:p w:rsidR="009F6B3D" w:rsidRPr="00793447" w:rsidRDefault="009F6B3D" w:rsidP="009F6B3D">
      <w:pPr>
        <w:autoSpaceDE w:val="0"/>
        <w:autoSpaceDN w:val="0"/>
        <w:adjustRightInd w:val="0"/>
        <w:spacing w:after="0" w:line="240" w:lineRule="auto"/>
        <w:ind w:left="-142"/>
        <w:jc w:val="center"/>
        <w:rPr>
          <w:rFonts w:asciiTheme="majorHAnsi" w:hAnsiTheme="majorHAnsi"/>
          <w:b/>
          <w:sz w:val="24"/>
          <w:szCs w:val="24"/>
        </w:rPr>
      </w:pPr>
      <w:r w:rsidRPr="00793447">
        <w:rPr>
          <w:rFonts w:asciiTheme="majorHAnsi" w:hAnsiTheme="majorHAnsi"/>
          <w:b/>
          <w:sz w:val="24"/>
          <w:szCs w:val="24"/>
        </w:rPr>
        <w:t xml:space="preserve">în perioada iunie </w:t>
      </w:r>
      <w:r w:rsidR="00583A47" w:rsidRPr="00793447">
        <w:rPr>
          <w:rFonts w:asciiTheme="majorHAnsi" w:hAnsiTheme="majorHAnsi"/>
          <w:b/>
          <w:sz w:val="24"/>
          <w:szCs w:val="24"/>
        </w:rPr>
        <w:t>2022</w:t>
      </w:r>
      <w:r w:rsidRPr="00793447">
        <w:rPr>
          <w:rFonts w:asciiTheme="majorHAnsi" w:hAnsiTheme="majorHAnsi"/>
          <w:b/>
          <w:sz w:val="24"/>
          <w:szCs w:val="24"/>
        </w:rPr>
        <w:t xml:space="preserve"> - iunie </w:t>
      </w:r>
      <w:r w:rsidR="00583A47" w:rsidRPr="00793447">
        <w:rPr>
          <w:rFonts w:asciiTheme="majorHAnsi" w:hAnsiTheme="majorHAnsi"/>
          <w:b/>
          <w:sz w:val="24"/>
          <w:szCs w:val="24"/>
        </w:rPr>
        <w:t>2023</w:t>
      </w:r>
    </w:p>
    <w:p w:rsidR="002F6EB9" w:rsidRPr="00793447" w:rsidRDefault="00263296" w:rsidP="002F6EB9">
      <w:pPr>
        <w:autoSpaceDE w:val="0"/>
        <w:autoSpaceDN w:val="0"/>
        <w:adjustRightInd w:val="0"/>
        <w:jc w:val="center"/>
        <w:rPr>
          <w:rFonts w:asciiTheme="majorHAnsi" w:hAnsiTheme="majorHAnsi"/>
          <w:b/>
          <w:sz w:val="24"/>
          <w:szCs w:val="24"/>
        </w:rPr>
      </w:pPr>
      <w:r w:rsidRPr="00793447">
        <w:rPr>
          <w:rFonts w:asciiTheme="majorHAnsi" w:hAnsiTheme="majorHAnsi" w:cs="Arial"/>
          <w:noProof/>
          <w:sz w:val="24"/>
          <w:szCs w:val="24"/>
        </w:rPr>
        <w:drawing>
          <wp:anchor distT="0" distB="0" distL="114300" distR="114300" simplePos="0" relativeHeight="251670528" behindDoc="0" locked="0" layoutInCell="1" allowOverlap="1" wp14:anchorId="10339541" wp14:editId="25F195C3">
            <wp:simplePos x="0" y="0"/>
            <wp:positionH relativeFrom="column">
              <wp:posOffset>285115</wp:posOffset>
            </wp:positionH>
            <wp:positionV relativeFrom="paragraph">
              <wp:posOffset>280035</wp:posOffset>
            </wp:positionV>
            <wp:extent cx="5003800" cy="2266950"/>
            <wp:effectExtent l="0" t="0" r="6350" b="0"/>
            <wp:wrapSquare wrapText="bothSides"/>
            <wp:docPr id="155"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page">
              <wp14:pctHeight>0</wp14:pctHeight>
            </wp14:sizeRelV>
          </wp:anchor>
        </w:drawing>
      </w:r>
    </w:p>
    <w:p w:rsidR="002F6EB9" w:rsidRPr="00793447" w:rsidRDefault="002F6EB9" w:rsidP="00263296">
      <w:pPr>
        <w:ind w:left="-709"/>
        <w:jc w:val="center"/>
        <w:rPr>
          <w:rFonts w:asciiTheme="majorHAnsi" w:hAnsiTheme="majorHAnsi"/>
          <w:sz w:val="24"/>
          <w:szCs w:val="24"/>
        </w:rPr>
      </w:pPr>
    </w:p>
    <w:p w:rsidR="002F6EB9" w:rsidRPr="00793447" w:rsidRDefault="002F6EB9" w:rsidP="009F6B3D">
      <w:pPr>
        <w:ind w:left="-142"/>
        <w:rPr>
          <w:rFonts w:asciiTheme="majorHAnsi" w:hAnsiTheme="majorHAnsi"/>
          <w:sz w:val="24"/>
          <w:szCs w:val="24"/>
        </w:rPr>
      </w:pPr>
    </w:p>
    <w:p w:rsidR="009F6B3D" w:rsidRPr="00793447" w:rsidRDefault="009F6B3D" w:rsidP="009F6B3D">
      <w:pPr>
        <w:spacing w:after="0" w:line="240" w:lineRule="auto"/>
        <w:ind w:left="-142"/>
        <w:jc w:val="both"/>
        <w:rPr>
          <w:rFonts w:asciiTheme="majorHAnsi" w:hAnsiTheme="majorHAnsi" w:cs="Calibri"/>
          <w:color w:val="FF0000"/>
          <w:sz w:val="24"/>
          <w:szCs w:val="24"/>
          <w:lang w:val="ro-RO"/>
        </w:rPr>
      </w:pPr>
    </w:p>
    <w:p w:rsidR="009F6B3D" w:rsidRPr="00793447" w:rsidRDefault="009F6B3D"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8F403C" w:rsidRPr="00793447" w:rsidRDefault="008F403C" w:rsidP="009F6B3D">
      <w:pPr>
        <w:spacing w:after="0" w:line="240" w:lineRule="auto"/>
        <w:ind w:left="-142"/>
        <w:jc w:val="both"/>
        <w:rPr>
          <w:rFonts w:asciiTheme="majorHAnsi" w:hAnsiTheme="majorHAnsi" w:cs="Calibri"/>
          <w:color w:val="FF0000"/>
          <w:sz w:val="24"/>
          <w:szCs w:val="24"/>
          <w:lang w:val="ro-RO"/>
        </w:rPr>
      </w:pPr>
    </w:p>
    <w:p w:rsidR="009F6B3D" w:rsidRPr="00793447" w:rsidRDefault="009F6B3D" w:rsidP="009F6B3D">
      <w:pPr>
        <w:spacing w:after="0" w:line="240" w:lineRule="auto"/>
        <w:ind w:firstLine="720"/>
        <w:jc w:val="both"/>
        <w:rPr>
          <w:rFonts w:asciiTheme="majorHAnsi" w:eastAsia="Calibri" w:hAnsiTheme="majorHAnsi"/>
          <w:sz w:val="24"/>
          <w:szCs w:val="24"/>
        </w:rPr>
      </w:pPr>
      <w:r w:rsidRPr="00793447">
        <w:rPr>
          <w:rFonts w:asciiTheme="majorHAnsi" w:eastAsia="Calibri" w:hAnsiTheme="majorHAnsi"/>
          <w:sz w:val="24"/>
          <w:szCs w:val="24"/>
        </w:rPr>
        <w:t xml:space="preserve">Capacitatea de cazare turistică în funcțiune a structurilor de primire turistică, în semestrul I </w:t>
      </w:r>
      <w:r w:rsidR="00583A47" w:rsidRPr="00793447">
        <w:rPr>
          <w:rFonts w:asciiTheme="majorHAnsi" w:eastAsia="Calibri" w:hAnsiTheme="majorHAnsi"/>
          <w:sz w:val="24"/>
          <w:szCs w:val="24"/>
        </w:rPr>
        <w:t>2023</w:t>
      </w:r>
      <w:r w:rsidRPr="00793447">
        <w:rPr>
          <w:rFonts w:asciiTheme="majorHAnsi" w:eastAsia="Calibri" w:hAnsiTheme="majorHAnsi"/>
          <w:sz w:val="24"/>
          <w:szCs w:val="24"/>
        </w:rPr>
        <w:t xml:space="preserve">, a fost cu </w:t>
      </w:r>
      <w:r w:rsidR="00263296" w:rsidRPr="00793447">
        <w:rPr>
          <w:rFonts w:asciiTheme="majorHAnsi" w:eastAsia="Calibri" w:hAnsiTheme="majorHAnsi"/>
          <w:sz w:val="24"/>
          <w:szCs w:val="24"/>
        </w:rPr>
        <w:t>2,9</w:t>
      </w:r>
      <w:r w:rsidRPr="00793447">
        <w:rPr>
          <w:rFonts w:asciiTheme="majorHAnsi" w:eastAsia="Calibri" w:hAnsiTheme="majorHAnsi"/>
          <w:sz w:val="24"/>
          <w:szCs w:val="24"/>
        </w:rPr>
        <w:t>% mai mare fa</w:t>
      </w:r>
      <w:r w:rsidRPr="00793447">
        <w:rPr>
          <w:rFonts w:asciiTheme="majorHAnsi" w:eastAsia="Calibri" w:hAnsiTheme="majorHAnsi" w:cs="Cambria"/>
          <w:sz w:val="24"/>
          <w:szCs w:val="24"/>
        </w:rPr>
        <w:t>ță</w:t>
      </w:r>
      <w:r w:rsidRPr="00793447">
        <w:rPr>
          <w:rFonts w:asciiTheme="majorHAnsi" w:eastAsia="Calibri" w:hAnsiTheme="majorHAnsi"/>
          <w:sz w:val="24"/>
          <w:szCs w:val="24"/>
        </w:rPr>
        <w:t xml:space="preserve"> de semestrul I </w:t>
      </w:r>
      <w:r w:rsidR="00583A47" w:rsidRPr="00793447">
        <w:rPr>
          <w:rFonts w:asciiTheme="majorHAnsi" w:eastAsia="Calibri" w:hAnsiTheme="majorHAnsi"/>
          <w:sz w:val="24"/>
          <w:szCs w:val="24"/>
        </w:rPr>
        <w:t>2022</w:t>
      </w:r>
      <w:r w:rsidRPr="00793447">
        <w:rPr>
          <w:rFonts w:asciiTheme="majorHAnsi" w:eastAsia="Calibri" w:hAnsiTheme="majorHAnsi"/>
          <w:sz w:val="24"/>
          <w:szCs w:val="24"/>
        </w:rPr>
        <w:t>.</w:t>
      </w:r>
    </w:p>
    <w:p w:rsidR="009F6B3D" w:rsidRPr="00793447" w:rsidRDefault="009F6B3D" w:rsidP="009F6B3D">
      <w:pPr>
        <w:spacing w:after="0" w:line="240" w:lineRule="auto"/>
        <w:jc w:val="both"/>
        <w:rPr>
          <w:rFonts w:asciiTheme="majorHAnsi" w:hAnsiTheme="majorHAnsi"/>
          <w:color w:val="FF0000"/>
          <w:sz w:val="24"/>
          <w:szCs w:val="24"/>
        </w:rPr>
      </w:pPr>
    </w:p>
    <w:p w:rsidR="009F6B3D" w:rsidRPr="00793447" w:rsidRDefault="009F6B3D" w:rsidP="009F6B3D">
      <w:pPr>
        <w:jc w:val="center"/>
        <w:rPr>
          <w:rFonts w:asciiTheme="majorHAnsi" w:hAnsiTheme="majorHAnsi"/>
          <w:b/>
          <w:color w:val="FF0000"/>
          <w:sz w:val="24"/>
          <w:szCs w:val="24"/>
        </w:rPr>
      </w:pPr>
    </w:p>
    <w:p w:rsidR="009F6B3D" w:rsidRPr="00793447" w:rsidRDefault="009F6B3D" w:rsidP="009F6B3D">
      <w:pPr>
        <w:jc w:val="center"/>
        <w:rPr>
          <w:rFonts w:asciiTheme="majorHAnsi" w:hAnsiTheme="majorHAnsi"/>
          <w:b/>
          <w:sz w:val="24"/>
          <w:szCs w:val="24"/>
        </w:rPr>
      </w:pPr>
      <w:r w:rsidRPr="00793447">
        <w:rPr>
          <w:rFonts w:asciiTheme="majorHAnsi" w:hAnsiTheme="majorHAnsi"/>
          <w:b/>
          <w:sz w:val="24"/>
          <w:szCs w:val="24"/>
        </w:rPr>
        <w:t>Capacitatea de cazare turistică în funcțiune pe tipuri de structuri de primire turistică</w:t>
      </w:r>
    </w:p>
    <w:p w:rsidR="00F456BC" w:rsidRPr="00793447" w:rsidRDefault="00F456BC" w:rsidP="009F6B3D">
      <w:pPr>
        <w:jc w:val="center"/>
        <w:rPr>
          <w:rFonts w:asciiTheme="majorHAnsi" w:hAnsiTheme="majorHAnsi"/>
          <w:b/>
          <w:sz w:val="24"/>
          <w:szCs w:val="24"/>
        </w:rPr>
      </w:pPr>
    </w:p>
    <w:tbl>
      <w:tblPr>
        <w:tblW w:w="9356" w:type="dxa"/>
        <w:tblLook w:val="04A0" w:firstRow="1" w:lastRow="0" w:firstColumn="1" w:lastColumn="0" w:noHBand="0" w:noVBand="1"/>
      </w:tblPr>
      <w:tblGrid>
        <w:gridCol w:w="3969"/>
        <w:gridCol w:w="1640"/>
        <w:gridCol w:w="1621"/>
        <w:gridCol w:w="2126"/>
      </w:tblGrid>
      <w:tr w:rsidR="00F456BC" w:rsidRPr="00793447" w:rsidTr="00055BCA">
        <w:trPr>
          <w:trHeight w:val="300"/>
        </w:trPr>
        <w:tc>
          <w:tcPr>
            <w:tcW w:w="3969" w:type="dxa"/>
            <w:vMerge w:val="restart"/>
            <w:tcBorders>
              <w:top w:val="single" w:sz="8" w:space="0" w:color="auto"/>
              <w:left w:val="nil"/>
              <w:bottom w:val="single" w:sz="8" w:space="0" w:color="000000"/>
              <w:right w:val="nil"/>
            </w:tcBorders>
            <w:shd w:val="clear" w:color="auto" w:fill="auto"/>
            <w:vAlign w:val="bottom"/>
            <w:hideMark/>
          </w:tcPr>
          <w:p w:rsidR="00F456BC" w:rsidRPr="00793447" w:rsidRDefault="00F456BC"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 </w:t>
            </w:r>
          </w:p>
        </w:tc>
        <w:tc>
          <w:tcPr>
            <w:tcW w:w="1640" w:type="dxa"/>
            <w:tcBorders>
              <w:top w:val="single" w:sz="8" w:space="0" w:color="auto"/>
              <w:left w:val="nil"/>
              <w:bottom w:val="nil"/>
              <w:right w:val="nil"/>
            </w:tcBorders>
            <w:shd w:val="clear" w:color="auto" w:fill="auto"/>
            <w:vAlign w:val="bottom"/>
            <w:hideMark/>
          </w:tcPr>
          <w:p w:rsidR="00F456BC" w:rsidRPr="00793447" w:rsidRDefault="00F456BC" w:rsidP="00633DC5">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sem.</w:t>
            </w:r>
            <w:r w:rsidR="00633DC5" w:rsidRPr="00793447">
              <w:rPr>
                <w:rFonts w:asciiTheme="majorHAnsi" w:hAnsiTheme="majorHAnsi" w:cs="Calibri"/>
                <w:b/>
                <w:bCs/>
                <w:color w:val="000000"/>
                <w:sz w:val="24"/>
                <w:szCs w:val="24"/>
              </w:rPr>
              <w:t xml:space="preserve"> I</w:t>
            </w:r>
            <w:r w:rsidRPr="00793447">
              <w:rPr>
                <w:rFonts w:asciiTheme="majorHAnsi" w:hAnsiTheme="majorHAnsi" w:cs="Calibri"/>
                <w:b/>
                <w:bCs/>
                <w:color w:val="000000"/>
                <w:sz w:val="24"/>
                <w:szCs w:val="24"/>
              </w:rPr>
              <w:t xml:space="preserve"> 2022</w:t>
            </w:r>
          </w:p>
        </w:tc>
        <w:tc>
          <w:tcPr>
            <w:tcW w:w="1621" w:type="dxa"/>
            <w:tcBorders>
              <w:top w:val="single" w:sz="8" w:space="0" w:color="auto"/>
              <w:left w:val="nil"/>
              <w:bottom w:val="nil"/>
              <w:right w:val="nil"/>
            </w:tcBorders>
            <w:shd w:val="clear" w:color="auto" w:fill="auto"/>
            <w:noWrap/>
            <w:vAlign w:val="bottom"/>
            <w:hideMark/>
          </w:tcPr>
          <w:p w:rsidR="00F456BC" w:rsidRPr="00793447" w:rsidRDefault="00F456BC" w:rsidP="00633DC5">
            <w:pPr>
              <w:spacing w:after="0" w:line="240" w:lineRule="auto"/>
              <w:rPr>
                <w:rFonts w:asciiTheme="majorHAnsi" w:hAnsiTheme="majorHAnsi" w:cs="Calibri"/>
                <w:b/>
                <w:bCs/>
                <w:color w:val="000000"/>
                <w:sz w:val="24"/>
                <w:szCs w:val="24"/>
              </w:rPr>
            </w:pPr>
            <w:r w:rsidRPr="00793447">
              <w:rPr>
                <w:rFonts w:asciiTheme="majorHAnsi" w:hAnsiTheme="majorHAnsi" w:cs="Calibri"/>
                <w:b/>
                <w:bCs/>
                <w:color w:val="000000"/>
                <w:sz w:val="24"/>
                <w:szCs w:val="24"/>
              </w:rPr>
              <w:t>sem.</w:t>
            </w:r>
            <w:r w:rsidR="00633DC5" w:rsidRPr="00793447">
              <w:rPr>
                <w:rFonts w:asciiTheme="majorHAnsi" w:hAnsiTheme="majorHAnsi" w:cs="Calibri"/>
                <w:b/>
                <w:bCs/>
                <w:color w:val="000000"/>
                <w:sz w:val="24"/>
                <w:szCs w:val="24"/>
              </w:rPr>
              <w:t xml:space="preserve"> I</w:t>
            </w:r>
            <w:r w:rsidRPr="00793447">
              <w:rPr>
                <w:rFonts w:asciiTheme="majorHAnsi" w:hAnsiTheme="majorHAnsi" w:cs="Calibri"/>
                <w:b/>
                <w:bCs/>
                <w:color w:val="000000"/>
                <w:sz w:val="24"/>
                <w:szCs w:val="24"/>
              </w:rPr>
              <w:t xml:space="preserve"> 2023</w:t>
            </w:r>
          </w:p>
        </w:tc>
        <w:tc>
          <w:tcPr>
            <w:tcW w:w="2126" w:type="dxa"/>
            <w:vMerge w:val="restart"/>
            <w:tcBorders>
              <w:top w:val="single" w:sz="8" w:space="0" w:color="auto"/>
              <w:left w:val="nil"/>
              <w:bottom w:val="single" w:sz="8" w:space="0" w:color="000000"/>
              <w:right w:val="nil"/>
            </w:tcBorders>
            <w:shd w:val="clear" w:color="auto" w:fill="auto"/>
            <w:noWrap/>
            <w:vAlign w:val="bottom"/>
            <w:hideMark/>
          </w:tcPr>
          <w:p w:rsidR="00F456BC" w:rsidRPr="00793447" w:rsidRDefault="00F456BC" w:rsidP="00633DC5">
            <w:pPr>
              <w:spacing w:after="0" w:line="240" w:lineRule="auto"/>
              <w:jc w:val="center"/>
              <w:rPr>
                <w:rFonts w:asciiTheme="majorHAnsi" w:hAnsiTheme="majorHAnsi" w:cs="Calibri"/>
                <w:b/>
                <w:bCs/>
                <w:color w:val="000000"/>
                <w:sz w:val="24"/>
                <w:szCs w:val="24"/>
              </w:rPr>
            </w:pPr>
            <w:r w:rsidRPr="00793447">
              <w:rPr>
                <w:rFonts w:asciiTheme="majorHAnsi" w:hAnsiTheme="majorHAnsi" w:cs="Calibri"/>
                <w:b/>
                <w:bCs/>
                <w:color w:val="000000"/>
                <w:sz w:val="24"/>
                <w:szCs w:val="24"/>
              </w:rPr>
              <w:t>Sem. I 202</w:t>
            </w:r>
            <w:r w:rsidR="00633DC5" w:rsidRPr="00793447">
              <w:rPr>
                <w:rFonts w:asciiTheme="majorHAnsi" w:hAnsiTheme="majorHAnsi" w:cs="Calibri"/>
                <w:b/>
                <w:bCs/>
                <w:color w:val="000000"/>
                <w:sz w:val="24"/>
                <w:szCs w:val="24"/>
              </w:rPr>
              <w:t>3</w:t>
            </w:r>
            <w:r w:rsidRPr="00793447">
              <w:rPr>
                <w:rFonts w:asciiTheme="majorHAnsi" w:hAnsiTheme="majorHAnsi" w:cs="Calibri"/>
                <w:b/>
                <w:bCs/>
                <w:color w:val="000000"/>
                <w:sz w:val="24"/>
                <w:szCs w:val="24"/>
              </w:rPr>
              <w:t xml:space="preserve"> în % faţă  de Sem. I 202</w:t>
            </w:r>
            <w:r w:rsidR="00633DC5" w:rsidRPr="00793447">
              <w:rPr>
                <w:rFonts w:asciiTheme="majorHAnsi" w:hAnsiTheme="majorHAnsi" w:cs="Calibri"/>
                <w:b/>
                <w:bCs/>
                <w:color w:val="000000"/>
                <w:sz w:val="24"/>
                <w:szCs w:val="24"/>
              </w:rPr>
              <w:t>2</w:t>
            </w:r>
          </w:p>
        </w:tc>
      </w:tr>
      <w:tr w:rsidR="00F456BC" w:rsidRPr="00793447" w:rsidTr="00055BCA">
        <w:trPr>
          <w:trHeight w:val="315"/>
        </w:trPr>
        <w:tc>
          <w:tcPr>
            <w:tcW w:w="3969" w:type="dxa"/>
            <w:vMerge/>
            <w:tcBorders>
              <w:top w:val="single" w:sz="8" w:space="0" w:color="auto"/>
              <w:left w:val="nil"/>
              <w:bottom w:val="single" w:sz="8" w:space="0" w:color="000000"/>
              <w:right w:val="nil"/>
            </w:tcBorders>
            <w:vAlign w:val="bottom"/>
            <w:hideMark/>
          </w:tcPr>
          <w:p w:rsidR="00F456BC" w:rsidRPr="00793447" w:rsidRDefault="00F456BC" w:rsidP="00633DC5">
            <w:pPr>
              <w:spacing w:after="0" w:line="240" w:lineRule="auto"/>
              <w:rPr>
                <w:rFonts w:asciiTheme="majorHAnsi" w:hAnsiTheme="majorHAnsi" w:cs="Calibri"/>
                <w:color w:val="000000"/>
                <w:sz w:val="24"/>
                <w:szCs w:val="24"/>
              </w:rPr>
            </w:pPr>
          </w:p>
        </w:tc>
        <w:tc>
          <w:tcPr>
            <w:tcW w:w="1640" w:type="dxa"/>
            <w:tcBorders>
              <w:top w:val="nil"/>
              <w:left w:val="nil"/>
              <w:bottom w:val="single" w:sz="8" w:space="0" w:color="auto"/>
              <w:right w:val="nil"/>
            </w:tcBorders>
            <w:shd w:val="clear" w:color="auto" w:fill="auto"/>
            <w:vAlign w:val="bottom"/>
            <w:hideMark/>
          </w:tcPr>
          <w:p w:rsidR="00F456BC" w:rsidRPr="00793447" w:rsidRDefault="00F456BC" w:rsidP="00633DC5">
            <w:pPr>
              <w:spacing w:after="0" w:line="240" w:lineRule="auto"/>
              <w:jc w:val="center"/>
              <w:rPr>
                <w:rFonts w:asciiTheme="majorHAnsi" w:hAnsiTheme="majorHAnsi" w:cs="Calibri"/>
                <w:color w:val="000000"/>
                <w:sz w:val="24"/>
                <w:szCs w:val="24"/>
              </w:rPr>
            </w:pPr>
            <w:r w:rsidRPr="00793447">
              <w:rPr>
                <w:rFonts w:asciiTheme="majorHAnsi" w:hAnsiTheme="majorHAnsi" w:cs="Calibri"/>
                <w:color w:val="000000"/>
                <w:sz w:val="24"/>
                <w:szCs w:val="24"/>
              </w:rPr>
              <w:t>locuri-zile</w:t>
            </w:r>
          </w:p>
        </w:tc>
        <w:tc>
          <w:tcPr>
            <w:tcW w:w="1621" w:type="dxa"/>
            <w:tcBorders>
              <w:top w:val="nil"/>
              <w:left w:val="nil"/>
              <w:bottom w:val="single" w:sz="8" w:space="0" w:color="auto"/>
              <w:right w:val="nil"/>
            </w:tcBorders>
            <w:shd w:val="clear" w:color="auto" w:fill="auto"/>
            <w:noWrap/>
            <w:vAlign w:val="bottom"/>
            <w:hideMark/>
          </w:tcPr>
          <w:p w:rsidR="00F456BC" w:rsidRPr="00793447" w:rsidRDefault="00F456BC"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locuri-zile</w:t>
            </w:r>
          </w:p>
        </w:tc>
        <w:tc>
          <w:tcPr>
            <w:tcW w:w="2126" w:type="dxa"/>
            <w:vMerge/>
            <w:tcBorders>
              <w:top w:val="single" w:sz="8" w:space="0" w:color="auto"/>
              <w:left w:val="nil"/>
              <w:bottom w:val="single" w:sz="8" w:space="0" w:color="000000"/>
              <w:right w:val="nil"/>
            </w:tcBorders>
            <w:vAlign w:val="bottom"/>
            <w:hideMark/>
          </w:tcPr>
          <w:p w:rsidR="00F456BC" w:rsidRPr="00793447" w:rsidRDefault="00F456BC" w:rsidP="00633DC5">
            <w:pPr>
              <w:spacing w:after="0" w:line="240" w:lineRule="auto"/>
              <w:rPr>
                <w:rFonts w:asciiTheme="majorHAnsi" w:hAnsiTheme="majorHAnsi" w:cs="Calibri"/>
                <w:b/>
                <w:bCs/>
                <w:color w:val="000000"/>
                <w:sz w:val="24"/>
                <w:szCs w:val="24"/>
              </w:rPr>
            </w:pPr>
          </w:p>
        </w:tc>
      </w:tr>
      <w:tr w:rsidR="00F456BC" w:rsidRPr="00793447" w:rsidTr="00055BCA">
        <w:trPr>
          <w:trHeight w:val="300"/>
        </w:trPr>
        <w:tc>
          <w:tcPr>
            <w:tcW w:w="3969" w:type="dxa"/>
            <w:tcBorders>
              <w:top w:val="nil"/>
              <w:left w:val="nil"/>
              <w:bottom w:val="nil"/>
              <w:right w:val="nil"/>
            </w:tcBorders>
            <w:shd w:val="clear" w:color="auto" w:fill="auto"/>
            <w:vAlign w:val="bottom"/>
            <w:hideMark/>
          </w:tcPr>
          <w:p w:rsidR="00F456BC" w:rsidRPr="00793447" w:rsidRDefault="00F456BC" w:rsidP="00633DC5">
            <w:pPr>
              <w:spacing w:after="0" w:line="240" w:lineRule="auto"/>
              <w:rPr>
                <w:rFonts w:asciiTheme="majorHAnsi" w:hAnsiTheme="majorHAnsi" w:cs="Calibri"/>
                <w:color w:val="000000"/>
                <w:sz w:val="24"/>
                <w:szCs w:val="24"/>
              </w:rPr>
            </w:pPr>
          </w:p>
        </w:tc>
        <w:tc>
          <w:tcPr>
            <w:tcW w:w="1640" w:type="dxa"/>
            <w:tcBorders>
              <w:top w:val="nil"/>
              <w:left w:val="nil"/>
              <w:bottom w:val="nil"/>
              <w:right w:val="nil"/>
            </w:tcBorders>
            <w:shd w:val="clear" w:color="auto" w:fill="auto"/>
            <w:vAlign w:val="bottom"/>
            <w:hideMark/>
          </w:tcPr>
          <w:p w:rsidR="00F456BC" w:rsidRPr="00793447" w:rsidRDefault="00F456BC" w:rsidP="00633DC5">
            <w:pPr>
              <w:spacing w:after="0" w:line="240" w:lineRule="auto"/>
              <w:rPr>
                <w:rFonts w:asciiTheme="majorHAnsi" w:hAnsiTheme="majorHAnsi"/>
                <w:sz w:val="24"/>
                <w:szCs w:val="24"/>
              </w:rPr>
            </w:pPr>
          </w:p>
        </w:tc>
        <w:tc>
          <w:tcPr>
            <w:tcW w:w="1621" w:type="dxa"/>
            <w:tcBorders>
              <w:top w:val="nil"/>
              <w:left w:val="nil"/>
              <w:bottom w:val="nil"/>
              <w:right w:val="nil"/>
            </w:tcBorders>
            <w:shd w:val="clear" w:color="auto" w:fill="auto"/>
            <w:noWrap/>
            <w:vAlign w:val="bottom"/>
            <w:hideMark/>
          </w:tcPr>
          <w:p w:rsidR="00F456BC" w:rsidRPr="00793447" w:rsidRDefault="00F456BC" w:rsidP="00633DC5">
            <w:pPr>
              <w:spacing w:after="0" w:line="240" w:lineRule="auto"/>
              <w:jc w:val="right"/>
              <w:rPr>
                <w:rFonts w:asciiTheme="majorHAnsi" w:hAnsiTheme="majorHAnsi"/>
                <w:sz w:val="24"/>
                <w:szCs w:val="24"/>
              </w:rPr>
            </w:pPr>
          </w:p>
        </w:tc>
        <w:tc>
          <w:tcPr>
            <w:tcW w:w="2126" w:type="dxa"/>
            <w:tcBorders>
              <w:top w:val="nil"/>
              <w:left w:val="nil"/>
              <w:bottom w:val="nil"/>
              <w:right w:val="nil"/>
            </w:tcBorders>
            <w:shd w:val="clear" w:color="auto" w:fill="auto"/>
            <w:noWrap/>
            <w:vAlign w:val="bottom"/>
            <w:hideMark/>
          </w:tcPr>
          <w:p w:rsidR="00F456BC" w:rsidRPr="00793447" w:rsidRDefault="00F456BC" w:rsidP="00633DC5">
            <w:pPr>
              <w:spacing w:after="0" w:line="240" w:lineRule="auto"/>
              <w:jc w:val="right"/>
              <w:rPr>
                <w:rFonts w:asciiTheme="majorHAnsi" w:hAnsiTheme="majorHAnsi"/>
                <w:sz w:val="24"/>
                <w:szCs w:val="24"/>
              </w:rPr>
            </w:pP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b/>
                <w:bCs/>
                <w:color w:val="000000"/>
                <w:sz w:val="24"/>
                <w:szCs w:val="24"/>
              </w:rPr>
            </w:pPr>
            <w:r w:rsidRPr="00793447">
              <w:rPr>
                <w:rFonts w:asciiTheme="majorHAnsi" w:hAnsiTheme="majorHAnsi" w:cs="Calibri"/>
                <w:b/>
                <w:bCs/>
                <w:color w:val="000000"/>
                <w:sz w:val="24"/>
                <w:szCs w:val="24"/>
              </w:rPr>
              <w:t>Total</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b/>
                <w:bCs/>
                <w:color w:val="000000"/>
                <w:sz w:val="24"/>
                <w:szCs w:val="24"/>
              </w:rPr>
            </w:pPr>
            <w:r w:rsidRPr="00793447">
              <w:rPr>
                <w:rFonts w:asciiTheme="majorHAnsi" w:hAnsiTheme="majorHAnsi" w:cs="Calibri"/>
                <w:b/>
                <w:bCs/>
                <w:color w:val="000000"/>
                <w:sz w:val="24"/>
                <w:szCs w:val="24"/>
              </w:rPr>
              <w:t>2225699</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b/>
                <w:bCs/>
                <w:color w:val="000000"/>
                <w:sz w:val="24"/>
                <w:szCs w:val="24"/>
              </w:rPr>
            </w:pPr>
            <w:r w:rsidRPr="00793447">
              <w:rPr>
                <w:rFonts w:asciiTheme="majorHAnsi" w:hAnsiTheme="majorHAnsi" w:cs="Calibri"/>
                <w:b/>
                <w:bCs/>
                <w:color w:val="000000"/>
                <w:sz w:val="24"/>
                <w:szCs w:val="24"/>
              </w:rPr>
              <w:t>2289924</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b/>
                <w:bCs/>
                <w:color w:val="000000"/>
                <w:sz w:val="24"/>
                <w:szCs w:val="24"/>
              </w:rPr>
            </w:pPr>
            <w:r w:rsidRPr="00793447">
              <w:rPr>
                <w:rFonts w:asciiTheme="majorHAnsi" w:hAnsiTheme="majorHAnsi" w:cs="Calibri"/>
                <w:b/>
                <w:bCs/>
                <w:color w:val="000000"/>
                <w:sz w:val="24"/>
                <w:szCs w:val="24"/>
              </w:rPr>
              <w:t>102,9</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Hoteluri</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1040334</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1088983</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104,7</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Hosteluri</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92162</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83380</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90,5</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Moteluri</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73268</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75084</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102,5</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Vile turistice</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165759</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163255</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98,5</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Cabane turistice</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21178</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22433</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105,9</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Campinguri</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5068</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5908</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116,6</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Căsuțe turistice</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1810</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9962</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550,4</w:t>
            </w:r>
          </w:p>
        </w:tc>
      </w:tr>
      <w:tr w:rsidR="00633DC5" w:rsidRPr="00793447" w:rsidTr="00055BCA">
        <w:trPr>
          <w:trHeight w:val="300"/>
        </w:trPr>
        <w:tc>
          <w:tcPr>
            <w:tcW w:w="3969" w:type="dxa"/>
            <w:tcBorders>
              <w:top w:val="nil"/>
              <w:left w:val="nil"/>
              <w:bottom w:val="nil"/>
              <w:right w:val="nil"/>
            </w:tcBorders>
            <w:shd w:val="clear" w:color="auto" w:fill="auto"/>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Tabere de elevi și preșcolari</w:t>
            </w:r>
          </w:p>
        </w:tc>
        <w:tc>
          <w:tcPr>
            <w:tcW w:w="1640" w:type="dxa"/>
            <w:tcBorders>
              <w:top w:val="nil"/>
              <w:left w:val="nil"/>
              <w:bottom w:val="nil"/>
              <w:right w:val="nil"/>
            </w:tcBorders>
            <w:shd w:val="clear" w:color="auto" w:fill="auto"/>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27874</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27874</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100,0</w:t>
            </w:r>
          </w:p>
        </w:tc>
      </w:tr>
      <w:tr w:rsidR="00633DC5" w:rsidRPr="00793447" w:rsidTr="00055BCA">
        <w:trPr>
          <w:trHeight w:val="300"/>
        </w:trPr>
        <w:tc>
          <w:tcPr>
            <w:tcW w:w="3969"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Pensiuni turistice</w:t>
            </w:r>
          </w:p>
        </w:tc>
        <w:tc>
          <w:tcPr>
            <w:tcW w:w="1640"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304687</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290767</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95,4</w:t>
            </w:r>
          </w:p>
        </w:tc>
      </w:tr>
      <w:tr w:rsidR="00633DC5" w:rsidRPr="00793447" w:rsidTr="00055BCA">
        <w:trPr>
          <w:trHeight w:val="300"/>
        </w:trPr>
        <w:tc>
          <w:tcPr>
            <w:tcW w:w="3969"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Pensiuni agroturistice</w:t>
            </w:r>
          </w:p>
        </w:tc>
        <w:tc>
          <w:tcPr>
            <w:tcW w:w="1640"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130127</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130643</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100,4</w:t>
            </w:r>
          </w:p>
        </w:tc>
      </w:tr>
      <w:tr w:rsidR="00633DC5" w:rsidRPr="00793447" w:rsidTr="00055BCA">
        <w:trPr>
          <w:trHeight w:val="300"/>
        </w:trPr>
        <w:tc>
          <w:tcPr>
            <w:tcW w:w="3969"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rPr>
                <w:rFonts w:asciiTheme="majorHAnsi" w:hAnsiTheme="majorHAnsi" w:cs="Calibri"/>
                <w:color w:val="000000"/>
                <w:sz w:val="24"/>
                <w:szCs w:val="24"/>
              </w:rPr>
            </w:pPr>
            <w:r w:rsidRPr="00793447">
              <w:rPr>
                <w:rFonts w:asciiTheme="majorHAnsi" w:hAnsiTheme="majorHAnsi" w:cs="Calibri"/>
                <w:color w:val="000000"/>
                <w:sz w:val="24"/>
                <w:szCs w:val="24"/>
              </w:rPr>
              <w:t>Apartamente și camere de închiriat</w:t>
            </w:r>
          </w:p>
        </w:tc>
        <w:tc>
          <w:tcPr>
            <w:tcW w:w="1640"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363432</w:t>
            </w:r>
          </w:p>
        </w:tc>
        <w:tc>
          <w:tcPr>
            <w:tcW w:w="1621"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391635</w:t>
            </w:r>
          </w:p>
        </w:tc>
        <w:tc>
          <w:tcPr>
            <w:tcW w:w="2126" w:type="dxa"/>
            <w:tcBorders>
              <w:top w:val="nil"/>
              <w:left w:val="nil"/>
              <w:bottom w:val="nil"/>
              <w:right w:val="nil"/>
            </w:tcBorders>
            <w:shd w:val="clear" w:color="auto" w:fill="auto"/>
            <w:noWrap/>
            <w:vAlign w:val="bottom"/>
            <w:hideMark/>
          </w:tcPr>
          <w:p w:rsidR="00633DC5" w:rsidRPr="00793447" w:rsidRDefault="00633DC5" w:rsidP="00633DC5">
            <w:pPr>
              <w:spacing w:after="0" w:line="240" w:lineRule="auto"/>
              <w:jc w:val="right"/>
              <w:rPr>
                <w:rFonts w:asciiTheme="majorHAnsi" w:hAnsiTheme="majorHAnsi" w:cs="Calibri"/>
                <w:color w:val="000000"/>
                <w:sz w:val="24"/>
                <w:szCs w:val="24"/>
              </w:rPr>
            </w:pPr>
            <w:r w:rsidRPr="00793447">
              <w:rPr>
                <w:rFonts w:asciiTheme="majorHAnsi" w:hAnsiTheme="majorHAnsi" w:cs="Calibri"/>
                <w:color w:val="000000"/>
                <w:sz w:val="24"/>
                <w:szCs w:val="24"/>
              </w:rPr>
              <w:t>107,8</w:t>
            </w:r>
          </w:p>
        </w:tc>
      </w:tr>
    </w:tbl>
    <w:p w:rsidR="009F6B3D" w:rsidRPr="00793447" w:rsidRDefault="009F6B3D" w:rsidP="009F6B3D">
      <w:pPr>
        <w:jc w:val="center"/>
        <w:rPr>
          <w:rFonts w:asciiTheme="majorHAnsi" w:hAnsiTheme="majorHAnsi"/>
          <w:b/>
          <w:color w:val="FF0000"/>
          <w:sz w:val="24"/>
          <w:szCs w:val="24"/>
        </w:rPr>
      </w:pPr>
    </w:p>
    <w:p w:rsidR="009F6B3D" w:rsidRPr="00793447" w:rsidRDefault="009F6B3D" w:rsidP="000D2017">
      <w:pPr>
        <w:spacing w:after="0" w:line="240" w:lineRule="auto"/>
        <w:ind w:firstLine="720"/>
        <w:jc w:val="both"/>
        <w:rPr>
          <w:rFonts w:asciiTheme="majorHAnsi" w:eastAsia="Calibri" w:hAnsiTheme="majorHAnsi"/>
          <w:sz w:val="24"/>
          <w:szCs w:val="24"/>
        </w:rPr>
      </w:pPr>
      <w:r w:rsidRPr="00793447">
        <w:rPr>
          <w:rFonts w:asciiTheme="majorHAnsi" w:eastAsia="Calibri" w:hAnsiTheme="majorHAnsi"/>
          <w:sz w:val="24"/>
          <w:szCs w:val="24"/>
        </w:rPr>
        <w:t xml:space="preserve">În semestrul I </w:t>
      </w:r>
      <w:r w:rsidR="00583A47" w:rsidRPr="00793447">
        <w:rPr>
          <w:rFonts w:asciiTheme="majorHAnsi" w:eastAsia="Calibri" w:hAnsiTheme="majorHAnsi"/>
          <w:sz w:val="24"/>
          <w:szCs w:val="24"/>
        </w:rPr>
        <w:t>2023</w:t>
      </w:r>
      <w:r w:rsidRPr="00793447">
        <w:rPr>
          <w:rFonts w:asciiTheme="majorHAnsi" w:eastAsia="Calibri" w:hAnsiTheme="majorHAnsi"/>
          <w:sz w:val="24"/>
          <w:szCs w:val="24"/>
        </w:rPr>
        <w:t>, hotelurile au deținut cea mai mare pondere (</w:t>
      </w:r>
      <w:r w:rsidR="00F456BC" w:rsidRPr="00793447">
        <w:rPr>
          <w:rFonts w:asciiTheme="majorHAnsi" w:eastAsia="Calibri" w:hAnsiTheme="majorHAnsi"/>
          <w:sz w:val="24"/>
          <w:szCs w:val="24"/>
        </w:rPr>
        <w:t>4</w:t>
      </w:r>
      <w:r w:rsidR="00055BCA" w:rsidRPr="00793447">
        <w:rPr>
          <w:rFonts w:asciiTheme="majorHAnsi" w:eastAsia="Calibri" w:hAnsiTheme="majorHAnsi"/>
          <w:sz w:val="24"/>
          <w:szCs w:val="24"/>
        </w:rPr>
        <w:t>7</w:t>
      </w:r>
      <w:r w:rsidR="00F456BC" w:rsidRPr="00793447">
        <w:rPr>
          <w:rFonts w:asciiTheme="majorHAnsi" w:eastAsia="Calibri" w:hAnsiTheme="majorHAnsi"/>
          <w:sz w:val="24"/>
          <w:szCs w:val="24"/>
        </w:rPr>
        <w:t>,</w:t>
      </w:r>
      <w:r w:rsidR="00055BCA" w:rsidRPr="00793447">
        <w:rPr>
          <w:rFonts w:asciiTheme="majorHAnsi" w:eastAsia="Calibri" w:hAnsiTheme="majorHAnsi"/>
          <w:sz w:val="24"/>
          <w:szCs w:val="24"/>
        </w:rPr>
        <w:t>6</w:t>
      </w:r>
      <w:r w:rsidRPr="00793447">
        <w:rPr>
          <w:rFonts w:asciiTheme="majorHAnsi" w:eastAsia="Calibri" w:hAnsiTheme="majorHAnsi"/>
          <w:sz w:val="24"/>
          <w:szCs w:val="24"/>
        </w:rPr>
        <w:t>%) în totalul capacității de cazare turistică în func</w:t>
      </w:r>
      <w:r w:rsidRPr="00793447">
        <w:rPr>
          <w:rFonts w:asciiTheme="majorHAnsi" w:eastAsia="Calibri" w:hAnsiTheme="majorHAnsi" w:cs="Cambria"/>
          <w:sz w:val="24"/>
          <w:szCs w:val="24"/>
        </w:rPr>
        <w:t>ț</w:t>
      </w:r>
      <w:r w:rsidRPr="00793447">
        <w:rPr>
          <w:rFonts w:asciiTheme="majorHAnsi" w:eastAsia="Calibri" w:hAnsiTheme="majorHAnsi"/>
          <w:sz w:val="24"/>
          <w:szCs w:val="24"/>
        </w:rPr>
        <w:t xml:space="preserve">iune, fiind urmate de </w:t>
      </w:r>
      <w:r w:rsidR="00DE3F18" w:rsidRPr="00793447">
        <w:rPr>
          <w:rFonts w:asciiTheme="majorHAnsi" w:eastAsia="Calibri" w:hAnsiTheme="majorHAnsi"/>
          <w:sz w:val="24"/>
          <w:szCs w:val="24"/>
        </w:rPr>
        <w:t xml:space="preserve">apartamente </w:t>
      </w:r>
      <w:r w:rsidR="00DE3F18" w:rsidRPr="00793447">
        <w:rPr>
          <w:rFonts w:asciiTheme="majorHAnsi" w:eastAsia="Calibri" w:hAnsiTheme="majorHAnsi"/>
          <w:sz w:val="24"/>
          <w:szCs w:val="24"/>
          <w:lang w:val="ro-RO"/>
        </w:rPr>
        <w:t xml:space="preserve">și camere de închiriat </w:t>
      </w:r>
      <w:r w:rsidR="00055BCA" w:rsidRPr="00793447">
        <w:rPr>
          <w:rFonts w:asciiTheme="majorHAnsi" w:eastAsia="Calibri" w:hAnsiTheme="majorHAnsi"/>
          <w:sz w:val="24"/>
          <w:szCs w:val="24"/>
          <w:lang w:val="ro-RO"/>
        </w:rPr>
        <w:t>17,1</w:t>
      </w:r>
      <w:r w:rsidR="00DE3F18" w:rsidRPr="00793447">
        <w:rPr>
          <w:rFonts w:asciiTheme="majorHAnsi" w:eastAsia="Calibri" w:hAnsiTheme="majorHAnsi"/>
          <w:sz w:val="24"/>
          <w:szCs w:val="24"/>
          <w:lang w:val="ro-RO"/>
        </w:rPr>
        <w:t xml:space="preserve">%, </w:t>
      </w:r>
      <w:r w:rsidRPr="00793447">
        <w:rPr>
          <w:rFonts w:asciiTheme="majorHAnsi" w:eastAsia="Calibri" w:hAnsiTheme="majorHAnsi"/>
          <w:sz w:val="24"/>
          <w:szCs w:val="24"/>
        </w:rPr>
        <w:t xml:space="preserve">pensiuni turistice </w:t>
      </w:r>
      <w:r w:rsidR="00055BCA" w:rsidRPr="00793447">
        <w:rPr>
          <w:rFonts w:asciiTheme="majorHAnsi" w:eastAsia="Calibri" w:hAnsiTheme="majorHAnsi"/>
          <w:sz w:val="24"/>
          <w:szCs w:val="24"/>
        </w:rPr>
        <w:t>12,7</w:t>
      </w:r>
      <w:r w:rsidRPr="00793447">
        <w:rPr>
          <w:rFonts w:asciiTheme="majorHAnsi" w:eastAsia="Calibri" w:hAnsiTheme="majorHAnsi"/>
          <w:sz w:val="24"/>
          <w:szCs w:val="24"/>
        </w:rPr>
        <w:t xml:space="preserve">%, vile turistice </w:t>
      </w:r>
      <w:r w:rsidR="00DE3F18" w:rsidRPr="00793447">
        <w:rPr>
          <w:rFonts w:asciiTheme="majorHAnsi" w:eastAsia="Calibri" w:hAnsiTheme="majorHAnsi"/>
          <w:sz w:val="24"/>
          <w:szCs w:val="24"/>
        </w:rPr>
        <w:t>7,</w:t>
      </w:r>
      <w:r w:rsidR="00055BCA" w:rsidRPr="00793447">
        <w:rPr>
          <w:rFonts w:asciiTheme="majorHAnsi" w:eastAsia="Calibri" w:hAnsiTheme="majorHAnsi"/>
          <w:sz w:val="24"/>
          <w:szCs w:val="24"/>
        </w:rPr>
        <w:t>1</w:t>
      </w:r>
      <w:r w:rsidRPr="00793447">
        <w:rPr>
          <w:rFonts w:asciiTheme="majorHAnsi" w:eastAsia="Calibri" w:hAnsiTheme="majorHAnsi"/>
          <w:sz w:val="24"/>
          <w:szCs w:val="24"/>
        </w:rPr>
        <w:t xml:space="preserve">%, pensiuni agroturistice </w:t>
      </w:r>
      <w:r w:rsidR="00F456BC" w:rsidRPr="00793447">
        <w:rPr>
          <w:rFonts w:asciiTheme="majorHAnsi" w:eastAsia="Calibri" w:hAnsiTheme="majorHAnsi"/>
          <w:sz w:val="24"/>
          <w:szCs w:val="24"/>
        </w:rPr>
        <w:t>5,</w:t>
      </w:r>
      <w:r w:rsidR="00055BCA" w:rsidRPr="00793447">
        <w:rPr>
          <w:rFonts w:asciiTheme="majorHAnsi" w:eastAsia="Calibri" w:hAnsiTheme="majorHAnsi"/>
          <w:sz w:val="24"/>
          <w:szCs w:val="24"/>
        </w:rPr>
        <w:t>7</w:t>
      </w:r>
      <w:r w:rsidRPr="00793447">
        <w:rPr>
          <w:rFonts w:asciiTheme="majorHAnsi" w:eastAsia="Calibri" w:hAnsiTheme="majorHAnsi"/>
          <w:sz w:val="24"/>
          <w:szCs w:val="24"/>
        </w:rPr>
        <w:t>%,</w:t>
      </w:r>
      <w:r w:rsidR="00BA70A1" w:rsidRPr="00793447">
        <w:rPr>
          <w:rFonts w:asciiTheme="majorHAnsi" w:eastAsia="Calibri" w:hAnsiTheme="majorHAnsi"/>
          <w:sz w:val="24"/>
          <w:szCs w:val="24"/>
        </w:rPr>
        <w:t xml:space="preserve"> hosteluri </w:t>
      </w:r>
      <w:r w:rsidR="00055BCA" w:rsidRPr="00793447">
        <w:rPr>
          <w:rFonts w:asciiTheme="majorHAnsi" w:eastAsia="Calibri" w:hAnsiTheme="majorHAnsi"/>
          <w:sz w:val="24"/>
          <w:szCs w:val="24"/>
        </w:rPr>
        <w:t>3,6</w:t>
      </w:r>
      <w:r w:rsidR="00BA70A1" w:rsidRPr="00793447">
        <w:rPr>
          <w:rFonts w:asciiTheme="majorHAnsi" w:eastAsia="Calibri" w:hAnsiTheme="majorHAnsi"/>
          <w:sz w:val="24"/>
          <w:szCs w:val="24"/>
        </w:rPr>
        <w:t xml:space="preserve">%, </w:t>
      </w:r>
      <w:r w:rsidRPr="00793447">
        <w:rPr>
          <w:rFonts w:asciiTheme="majorHAnsi" w:eastAsia="Calibri" w:hAnsiTheme="majorHAnsi"/>
          <w:sz w:val="24"/>
          <w:szCs w:val="24"/>
        </w:rPr>
        <w:t xml:space="preserve">moteluri </w:t>
      </w:r>
      <w:r w:rsidR="006D0D4C" w:rsidRPr="00793447">
        <w:rPr>
          <w:rFonts w:asciiTheme="majorHAnsi" w:eastAsia="Calibri" w:hAnsiTheme="majorHAnsi"/>
          <w:sz w:val="24"/>
          <w:szCs w:val="24"/>
        </w:rPr>
        <w:t>3</w:t>
      </w:r>
      <w:r w:rsidRPr="00793447">
        <w:rPr>
          <w:rFonts w:asciiTheme="majorHAnsi" w:eastAsia="Calibri" w:hAnsiTheme="majorHAnsi"/>
          <w:sz w:val="24"/>
          <w:szCs w:val="24"/>
        </w:rPr>
        <w:t>,</w:t>
      </w:r>
      <w:r w:rsidR="00F456BC" w:rsidRPr="00793447">
        <w:rPr>
          <w:rFonts w:asciiTheme="majorHAnsi" w:eastAsia="Calibri" w:hAnsiTheme="majorHAnsi"/>
          <w:sz w:val="24"/>
          <w:szCs w:val="24"/>
        </w:rPr>
        <w:t>3</w:t>
      </w:r>
      <w:r w:rsidRPr="00793447">
        <w:rPr>
          <w:rFonts w:asciiTheme="majorHAnsi" w:eastAsia="Calibri" w:hAnsiTheme="majorHAnsi"/>
          <w:sz w:val="24"/>
          <w:szCs w:val="24"/>
        </w:rPr>
        <w:t>%, iar restul tipurilor</w:t>
      </w:r>
      <w:r w:rsidR="000D2017" w:rsidRPr="00793447">
        <w:rPr>
          <w:rFonts w:asciiTheme="majorHAnsi" w:eastAsia="Calibri" w:hAnsiTheme="majorHAnsi"/>
          <w:sz w:val="24"/>
          <w:szCs w:val="24"/>
        </w:rPr>
        <w:t xml:space="preserve"> </w:t>
      </w:r>
      <w:r w:rsidRPr="00793447">
        <w:rPr>
          <w:rFonts w:asciiTheme="majorHAnsi" w:eastAsia="Calibri" w:hAnsiTheme="majorHAnsi"/>
          <w:sz w:val="24"/>
          <w:szCs w:val="24"/>
        </w:rPr>
        <w:t xml:space="preserve">de structuri de primire turistică cu funcțiuni de cazare turistică </w:t>
      </w:r>
      <w:r w:rsidR="000B7E19" w:rsidRPr="00793447">
        <w:rPr>
          <w:rFonts w:asciiTheme="majorHAnsi" w:eastAsia="Calibri" w:hAnsiTheme="majorHAnsi"/>
          <w:sz w:val="24"/>
          <w:szCs w:val="24"/>
        </w:rPr>
        <w:t>2,</w:t>
      </w:r>
      <w:r w:rsidR="00055BCA" w:rsidRPr="00793447">
        <w:rPr>
          <w:rFonts w:asciiTheme="majorHAnsi" w:eastAsia="Calibri" w:hAnsiTheme="majorHAnsi"/>
          <w:sz w:val="24"/>
          <w:szCs w:val="24"/>
        </w:rPr>
        <w:t>9</w:t>
      </w:r>
      <w:r w:rsidRPr="00793447">
        <w:rPr>
          <w:rFonts w:asciiTheme="majorHAnsi" w:eastAsia="Calibri" w:hAnsiTheme="majorHAnsi"/>
          <w:sz w:val="24"/>
          <w:szCs w:val="24"/>
        </w:rPr>
        <w:t>%.</w:t>
      </w:r>
    </w:p>
    <w:p w:rsidR="008F403C" w:rsidRPr="00793447" w:rsidRDefault="008F403C" w:rsidP="008F403C">
      <w:pPr>
        <w:spacing w:after="0" w:line="240" w:lineRule="auto"/>
        <w:jc w:val="center"/>
        <w:rPr>
          <w:rFonts w:asciiTheme="majorHAnsi" w:hAnsiTheme="majorHAnsi"/>
          <w:b/>
          <w:sz w:val="24"/>
          <w:szCs w:val="24"/>
        </w:rPr>
      </w:pPr>
    </w:p>
    <w:p w:rsidR="008F403C" w:rsidRPr="00793447" w:rsidRDefault="008F403C" w:rsidP="008F403C">
      <w:pPr>
        <w:spacing w:after="0" w:line="240" w:lineRule="auto"/>
        <w:jc w:val="center"/>
        <w:rPr>
          <w:rFonts w:asciiTheme="majorHAnsi" w:hAnsiTheme="majorHAnsi"/>
          <w:b/>
          <w:sz w:val="24"/>
          <w:szCs w:val="24"/>
        </w:rPr>
      </w:pPr>
      <w:r w:rsidRPr="00793447">
        <w:rPr>
          <w:rFonts w:asciiTheme="majorHAnsi" w:hAnsiTheme="majorHAnsi"/>
          <w:b/>
          <w:sz w:val="24"/>
          <w:szCs w:val="24"/>
        </w:rPr>
        <w:t>Capacitatea de cazare turistică în funcțiune pe tipuri de structuri de primire turistică în semestrul I 2023</w:t>
      </w:r>
    </w:p>
    <w:p w:rsidR="008F403C" w:rsidRPr="00793447" w:rsidRDefault="008F403C" w:rsidP="008F403C">
      <w:pPr>
        <w:jc w:val="center"/>
        <w:rPr>
          <w:rFonts w:asciiTheme="majorHAnsi" w:hAnsiTheme="majorHAnsi"/>
          <w:b/>
          <w:sz w:val="24"/>
          <w:szCs w:val="24"/>
        </w:rPr>
      </w:pPr>
    </w:p>
    <w:p w:rsidR="006D71FA" w:rsidRPr="00793447" w:rsidRDefault="006D71FA" w:rsidP="000D2017">
      <w:pPr>
        <w:spacing w:after="0" w:line="240" w:lineRule="auto"/>
        <w:ind w:firstLine="720"/>
        <w:jc w:val="both"/>
        <w:rPr>
          <w:rFonts w:asciiTheme="majorHAnsi" w:eastAsia="Calibri" w:hAnsiTheme="majorHAnsi"/>
          <w:color w:val="FF0000"/>
          <w:sz w:val="24"/>
          <w:szCs w:val="24"/>
        </w:rPr>
      </w:pPr>
    </w:p>
    <w:p w:rsidR="006D71FA" w:rsidRPr="00793447" w:rsidRDefault="006D71FA" w:rsidP="009F6B3D">
      <w:pPr>
        <w:spacing w:after="0" w:line="240" w:lineRule="auto"/>
        <w:ind w:left="-142"/>
        <w:jc w:val="center"/>
        <w:rPr>
          <w:rFonts w:asciiTheme="majorHAnsi" w:hAnsiTheme="majorHAnsi"/>
          <w:b/>
          <w:color w:val="FF0000"/>
          <w:sz w:val="24"/>
          <w:szCs w:val="24"/>
        </w:rPr>
      </w:pPr>
      <w:r w:rsidRPr="00793447">
        <w:rPr>
          <w:rFonts w:asciiTheme="majorHAnsi" w:hAnsiTheme="majorHAnsi"/>
          <w:b/>
          <w:noProof/>
          <w:color w:val="FF0000"/>
          <w:sz w:val="24"/>
          <w:szCs w:val="24"/>
        </w:rPr>
        <w:drawing>
          <wp:inline distT="0" distB="0" distL="0" distR="0" wp14:anchorId="501CD92E" wp14:editId="7DC49498">
            <wp:extent cx="5619750" cy="2587925"/>
            <wp:effectExtent l="0" t="0" r="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F6B3D" w:rsidRPr="00793447" w:rsidRDefault="009F6B3D" w:rsidP="009F6B3D">
      <w:pPr>
        <w:spacing w:after="0" w:line="240" w:lineRule="auto"/>
        <w:ind w:left="-142"/>
        <w:jc w:val="center"/>
        <w:rPr>
          <w:rFonts w:asciiTheme="majorHAnsi" w:hAnsiTheme="majorHAnsi"/>
          <w:b/>
          <w:color w:val="FF0000"/>
          <w:sz w:val="24"/>
          <w:szCs w:val="24"/>
        </w:rPr>
      </w:pPr>
    </w:p>
    <w:bookmarkEnd w:id="7"/>
    <w:p w:rsidR="005E55B6" w:rsidRPr="00793447" w:rsidRDefault="005E55B6" w:rsidP="005E4472">
      <w:pPr>
        <w:spacing w:after="0" w:line="240" w:lineRule="auto"/>
        <w:jc w:val="both"/>
        <w:rPr>
          <w:rFonts w:asciiTheme="majorHAnsi" w:hAnsiTheme="majorHAnsi"/>
          <w:b/>
          <w:color w:val="FF0000"/>
          <w:sz w:val="24"/>
          <w:szCs w:val="24"/>
        </w:rPr>
      </w:pPr>
    </w:p>
    <w:p w:rsidR="00617E79" w:rsidRPr="00793447" w:rsidRDefault="006064A4" w:rsidP="004C21A5">
      <w:pPr>
        <w:jc w:val="both"/>
        <w:rPr>
          <w:rFonts w:asciiTheme="majorHAnsi" w:hAnsiTheme="majorHAnsi"/>
          <w:b/>
          <w:sz w:val="24"/>
          <w:szCs w:val="24"/>
        </w:rPr>
      </w:pPr>
      <w:r w:rsidRPr="00793447">
        <w:rPr>
          <w:rFonts w:asciiTheme="majorHAnsi" w:hAnsiTheme="majorHAnsi"/>
          <w:b/>
          <w:sz w:val="24"/>
          <w:szCs w:val="24"/>
        </w:rPr>
        <w:t xml:space="preserve">2.6. </w:t>
      </w:r>
      <w:r w:rsidR="004C21A5" w:rsidRPr="00793447">
        <w:rPr>
          <w:rFonts w:asciiTheme="majorHAnsi" w:hAnsiTheme="majorHAnsi"/>
          <w:b/>
          <w:sz w:val="24"/>
          <w:szCs w:val="24"/>
        </w:rPr>
        <w:t xml:space="preserve">ALȚI </w:t>
      </w:r>
      <w:r w:rsidR="002535D1" w:rsidRPr="00793447">
        <w:rPr>
          <w:rFonts w:asciiTheme="majorHAnsi" w:hAnsiTheme="majorHAnsi"/>
          <w:b/>
          <w:sz w:val="24"/>
          <w:szCs w:val="24"/>
        </w:rPr>
        <w:t xml:space="preserve"> </w:t>
      </w:r>
      <w:r w:rsidR="004C21A5" w:rsidRPr="00793447">
        <w:rPr>
          <w:rFonts w:asciiTheme="majorHAnsi" w:hAnsiTheme="majorHAnsi"/>
          <w:b/>
          <w:sz w:val="24"/>
          <w:szCs w:val="24"/>
        </w:rPr>
        <w:t>INDICATORI</w:t>
      </w:r>
    </w:p>
    <w:p w:rsidR="006064A4" w:rsidRPr="00793447" w:rsidRDefault="006064A4" w:rsidP="008A543F">
      <w:pPr>
        <w:rPr>
          <w:rFonts w:asciiTheme="majorHAnsi" w:hAnsiTheme="majorHAnsi"/>
          <w:b/>
          <w:i/>
          <w:color w:val="FF0000"/>
          <w:sz w:val="24"/>
          <w:szCs w:val="24"/>
          <w:lang w:val="ro-RO"/>
        </w:rPr>
      </w:pPr>
    </w:p>
    <w:p w:rsidR="001024DC" w:rsidRPr="00793447" w:rsidRDefault="001024DC" w:rsidP="008A543F">
      <w:pPr>
        <w:rPr>
          <w:rFonts w:asciiTheme="majorHAnsi" w:hAnsiTheme="majorHAnsi"/>
          <w:b/>
          <w:caps/>
          <w:sz w:val="24"/>
          <w:szCs w:val="24"/>
          <w:lang w:val="ro-RO"/>
        </w:rPr>
      </w:pPr>
      <w:r w:rsidRPr="00793447">
        <w:rPr>
          <w:rFonts w:asciiTheme="majorHAnsi" w:hAnsiTheme="majorHAnsi"/>
          <w:b/>
          <w:caps/>
          <w:sz w:val="24"/>
          <w:szCs w:val="24"/>
          <w:lang w:val="ro-RO"/>
        </w:rPr>
        <w:t>Înmatriculări de societăţi comerciale cu participare străină la capitalul social subscris</w:t>
      </w:r>
      <w:r w:rsidR="00D25F85">
        <w:rPr>
          <w:rFonts w:asciiTheme="majorHAnsi" w:hAnsiTheme="majorHAnsi"/>
          <w:b/>
          <w:caps/>
          <w:sz w:val="24"/>
          <w:szCs w:val="24"/>
          <w:lang w:val="ro-RO"/>
        </w:rPr>
        <w:t xml:space="preserve"> din semestrul I 2023</w:t>
      </w:r>
    </w:p>
    <w:p w:rsidR="00CE1FEA" w:rsidRPr="00793447" w:rsidRDefault="00CE1FEA" w:rsidP="00CE1FEA">
      <w:pPr>
        <w:ind w:firstLine="720"/>
        <w:jc w:val="both"/>
        <w:rPr>
          <w:rFonts w:asciiTheme="majorHAnsi" w:hAnsiTheme="majorHAnsi"/>
          <w:sz w:val="24"/>
          <w:szCs w:val="24"/>
          <w:lang w:val="ro-RO"/>
        </w:rPr>
      </w:pPr>
      <w:r w:rsidRPr="00793447">
        <w:rPr>
          <w:rFonts w:asciiTheme="majorHAnsi" w:hAnsiTheme="majorHAnsi"/>
          <w:sz w:val="24"/>
          <w:szCs w:val="24"/>
          <w:lang w:val="ro-RO"/>
        </w:rPr>
        <w:t xml:space="preserve">Înmatriculările de societăţi comerciale cu participare străină la capitalul social subscris în judeţul Prahova, au fost în semestrul I </w:t>
      </w:r>
      <w:r w:rsidR="00583A47" w:rsidRPr="00793447">
        <w:rPr>
          <w:rFonts w:asciiTheme="majorHAnsi" w:hAnsiTheme="majorHAnsi"/>
          <w:sz w:val="24"/>
          <w:szCs w:val="24"/>
          <w:lang w:val="ro-RO"/>
        </w:rPr>
        <w:t>2023</w:t>
      </w:r>
      <w:r w:rsidRPr="00793447">
        <w:rPr>
          <w:rFonts w:asciiTheme="majorHAnsi" w:hAnsiTheme="majorHAnsi"/>
          <w:sz w:val="24"/>
          <w:szCs w:val="24"/>
          <w:lang w:val="ro-RO"/>
        </w:rPr>
        <w:t xml:space="preserve"> în număr de </w:t>
      </w:r>
      <w:r w:rsidR="00172DE0" w:rsidRPr="00793447">
        <w:rPr>
          <w:rFonts w:asciiTheme="majorHAnsi" w:hAnsiTheme="majorHAnsi"/>
          <w:sz w:val="24"/>
          <w:szCs w:val="24"/>
          <w:lang w:val="ro-RO"/>
        </w:rPr>
        <w:t>5</w:t>
      </w:r>
      <w:r w:rsidR="005717FB" w:rsidRPr="00793447">
        <w:rPr>
          <w:rFonts w:asciiTheme="majorHAnsi" w:hAnsiTheme="majorHAnsi"/>
          <w:sz w:val="24"/>
          <w:szCs w:val="24"/>
          <w:lang w:val="ro-RO"/>
        </w:rPr>
        <w:t>7</w:t>
      </w:r>
      <w:r w:rsidRPr="00793447">
        <w:rPr>
          <w:rFonts w:asciiTheme="majorHAnsi" w:hAnsiTheme="majorHAnsi"/>
          <w:sz w:val="24"/>
          <w:szCs w:val="24"/>
          <w:lang w:val="ro-RO"/>
        </w:rPr>
        <w:t>.</w:t>
      </w:r>
    </w:p>
    <w:p w:rsidR="004C21A5" w:rsidRPr="00793447" w:rsidRDefault="00816973" w:rsidP="004C21A5">
      <w:pPr>
        <w:spacing w:after="0" w:line="240" w:lineRule="auto"/>
        <w:jc w:val="center"/>
        <w:rPr>
          <w:rFonts w:asciiTheme="majorHAnsi" w:hAnsiTheme="majorHAnsi"/>
          <w:b/>
          <w:sz w:val="24"/>
          <w:szCs w:val="24"/>
        </w:rPr>
      </w:pPr>
      <w:r w:rsidRPr="00793447">
        <w:rPr>
          <w:rFonts w:asciiTheme="majorHAnsi" w:hAnsiTheme="majorHAnsi"/>
          <w:b/>
          <w:sz w:val="24"/>
          <w:szCs w:val="24"/>
          <w:lang w:val="ro-RO"/>
        </w:rPr>
        <w:t xml:space="preserve">Înmatriculări de societăţi comerciale cu participare străină la capitalul social </w:t>
      </w:r>
      <w:r w:rsidR="00D72B8D" w:rsidRPr="00793447">
        <w:rPr>
          <w:rFonts w:asciiTheme="majorHAnsi" w:hAnsiTheme="majorHAnsi"/>
          <w:b/>
          <w:sz w:val="24"/>
          <w:szCs w:val="24"/>
          <w:lang w:val="ro-RO"/>
        </w:rPr>
        <w:t>s</w:t>
      </w:r>
      <w:r w:rsidRPr="00793447">
        <w:rPr>
          <w:rFonts w:asciiTheme="majorHAnsi" w:hAnsiTheme="majorHAnsi"/>
          <w:b/>
          <w:sz w:val="24"/>
          <w:szCs w:val="24"/>
          <w:lang w:val="ro-RO"/>
        </w:rPr>
        <w:t>ubscris</w:t>
      </w:r>
      <w:r w:rsidRPr="00793447">
        <w:rPr>
          <w:rFonts w:asciiTheme="majorHAnsi" w:hAnsiTheme="majorHAnsi"/>
          <w:b/>
          <w:sz w:val="24"/>
          <w:szCs w:val="24"/>
        </w:rPr>
        <w:t xml:space="preserve"> </w:t>
      </w:r>
      <w:r w:rsidR="004C21A5" w:rsidRPr="00793447">
        <w:rPr>
          <w:rFonts w:asciiTheme="majorHAnsi" w:hAnsiTheme="majorHAnsi"/>
          <w:b/>
          <w:sz w:val="24"/>
          <w:szCs w:val="24"/>
        </w:rPr>
        <w:t xml:space="preserve">sem.I </w:t>
      </w:r>
      <w:r w:rsidR="00583A47" w:rsidRPr="00793447">
        <w:rPr>
          <w:rFonts w:asciiTheme="majorHAnsi" w:hAnsiTheme="majorHAnsi"/>
          <w:b/>
          <w:sz w:val="24"/>
          <w:szCs w:val="24"/>
        </w:rPr>
        <w:t>2023</w:t>
      </w:r>
      <w:r w:rsidR="004C21A5" w:rsidRPr="00793447">
        <w:rPr>
          <w:rFonts w:asciiTheme="majorHAnsi" w:hAnsiTheme="majorHAnsi"/>
          <w:b/>
          <w:sz w:val="24"/>
          <w:szCs w:val="24"/>
        </w:rPr>
        <w:t xml:space="preserve"> față de sem.I </w:t>
      </w:r>
      <w:r w:rsidR="00583A47" w:rsidRPr="00793447">
        <w:rPr>
          <w:rFonts w:asciiTheme="majorHAnsi" w:hAnsiTheme="majorHAnsi"/>
          <w:b/>
          <w:sz w:val="24"/>
          <w:szCs w:val="24"/>
        </w:rPr>
        <w:t>2022</w:t>
      </w:r>
    </w:p>
    <w:p w:rsidR="00CE1FEA" w:rsidRPr="00793447" w:rsidRDefault="00CE1FEA" w:rsidP="004C21A5">
      <w:pPr>
        <w:spacing w:after="0" w:line="240" w:lineRule="auto"/>
        <w:jc w:val="center"/>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2204"/>
        <w:gridCol w:w="2071"/>
        <w:gridCol w:w="1612"/>
        <w:gridCol w:w="1842"/>
      </w:tblGrid>
      <w:tr w:rsidR="00172DE0" w:rsidRPr="00793447" w:rsidTr="00841528">
        <w:tc>
          <w:tcPr>
            <w:tcW w:w="1503" w:type="dxa"/>
            <w:vMerge w:val="restart"/>
            <w:shd w:val="clear" w:color="auto" w:fill="auto"/>
            <w:vAlign w:val="center"/>
          </w:tcPr>
          <w:p w:rsidR="00CE1FEA" w:rsidRPr="00793447" w:rsidRDefault="00CE1FEA" w:rsidP="00C764F9">
            <w:pPr>
              <w:spacing w:after="0" w:line="240" w:lineRule="auto"/>
              <w:jc w:val="center"/>
              <w:rPr>
                <w:rFonts w:asciiTheme="majorHAnsi" w:hAnsiTheme="majorHAnsi"/>
                <w:sz w:val="24"/>
                <w:szCs w:val="24"/>
              </w:rPr>
            </w:pPr>
            <w:r w:rsidRPr="00793447">
              <w:rPr>
                <w:rFonts w:asciiTheme="majorHAnsi" w:hAnsiTheme="majorHAnsi" w:cs="Calibri"/>
                <w:bCs/>
                <w:sz w:val="24"/>
                <w:szCs w:val="24"/>
              </w:rPr>
              <w:t>PRAHOVA</w:t>
            </w:r>
          </w:p>
        </w:tc>
        <w:tc>
          <w:tcPr>
            <w:tcW w:w="2204" w:type="dxa"/>
            <w:vMerge w:val="restart"/>
            <w:shd w:val="clear" w:color="auto" w:fill="auto"/>
          </w:tcPr>
          <w:p w:rsidR="00CE1FEA" w:rsidRPr="00793447" w:rsidRDefault="00CE1FEA" w:rsidP="00C764F9">
            <w:pPr>
              <w:spacing w:after="0" w:line="240" w:lineRule="auto"/>
              <w:jc w:val="center"/>
              <w:rPr>
                <w:rFonts w:asciiTheme="majorHAnsi" w:hAnsiTheme="majorHAnsi"/>
                <w:sz w:val="24"/>
                <w:szCs w:val="24"/>
              </w:rPr>
            </w:pPr>
            <w:r w:rsidRPr="00793447">
              <w:rPr>
                <w:rFonts w:asciiTheme="majorHAnsi" w:hAnsiTheme="majorHAnsi" w:cs="Calibri"/>
                <w:bCs/>
                <w:sz w:val="24"/>
                <w:szCs w:val="24"/>
              </w:rPr>
              <w:t xml:space="preserve">Înmatriculări de </w:t>
            </w:r>
            <w:r w:rsidRPr="00793447">
              <w:rPr>
                <w:rFonts w:asciiTheme="majorHAnsi" w:hAnsiTheme="majorHAnsi" w:cs="Calibri"/>
                <w:bCs/>
                <w:sz w:val="24"/>
                <w:szCs w:val="24"/>
              </w:rPr>
              <w:br/>
              <w:t>societăţi comerciale</w:t>
            </w:r>
            <w:r w:rsidRPr="00793447">
              <w:rPr>
                <w:rFonts w:asciiTheme="majorHAnsi" w:hAnsiTheme="majorHAnsi" w:cs="Calibri"/>
                <w:bCs/>
                <w:sz w:val="24"/>
                <w:szCs w:val="24"/>
              </w:rPr>
              <w:br/>
              <w:t>- număr -</w:t>
            </w:r>
          </w:p>
        </w:tc>
        <w:tc>
          <w:tcPr>
            <w:tcW w:w="5525" w:type="dxa"/>
            <w:gridSpan w:val="3"/>
            <w:shd w:val="clear" w:color="auto" w:fill="auto"/>
          </w:tcPr>
          <w:p w:rsidR="00CE1FEA" w:rsidRPr="00793447" w:rsidRDefault="00CE1FEA" w:rsidP="00C764F9">
            <w:pPr>
              <w:spacing w:after="0" w:line="240" w:lineRule="auto"/>
              <w:jc w:val="both"/>
              <w:rPr>
                <w:rFonts w:asciiTheme="majorHAnsi" w:hAnsiTheme="majorHAnsi"/>
                <w:sz w:val="24"/>
                <w:szCs w:val="24"/>
              </w:rPr>
            </w:pPr>
            <w:r w:rsidRPr="00793447">
              <w:rPr>
                <w:rFonts w:asciiTheme="majorHAnsi" w:hAnsiTheme="majorHAnsi" w:cs="Calibri"/>
                <w:bCs/>
                <w:sz w:val="24"/>
                <w:szCs w:val="24"/>
              </w:rPr>
              <w:t>Valoarea capitalului social total subscris exprimat în:</w:t>
            </w:r>
          </w:p>
        </w:tc>
      </w:tr>
      <w:tr w:rsidR="00172DE0" w:rsidRPr="00793447" w:rsidTr="00841528">
        <w:tc>
          <w:tcPr>
            <w:tcW w:w="1503" w:type="dxa"/>
            <w:vMerge/>
            <w:shd w:val="clear" w:color="auto" w:fill="auto"/>
          </w:tcPr>
          <w:p w:rsidR="00CE1FEA" w:rsidRPr="00793447" w:rsidRDefault="00CE1FEA" w:rsidP="00C764F9">
            <w:pPr>
              <w:spacing w:after="0" w:line="240" w:lineRule="auto"/>
              <w:jc w:val="both"/>
              <w:rPr>
                <w:rFonts w:asciiTheme="majorHAnsi" w:hAnsiTheme="majorHAnsi"/>
                <w:sz w:val="24"/>
                <w:szCs w:val="24"/>
              </w:rPr>
            </w:pPr>
          </w:p>
        </w:tc>
        <w:tc>
          <w:tcPr>
            <w:tcW w:w="2204" w:type="dxa"/>
            <w:vMerge/>
            <w:shd w:val="clear" w:color="auto" w:fill="auto"/>
          </w:tcPr>
          <w:p w:rsidR="00CE1FEA" w:rsidRPr="00793447" w:rsidRDefault="00CE1FEA" w:rsidP="00C764F9">
            <w:pPr>
              <w:spacing w:after="0" w:line="240" w:lineRule="auto"/>
              <w:jc w:val="both"/>
              <w:rPr>
                <w:rFonts w:asciiTheme="majorHAnsi" w:hAnsiTheme="majorHAnsi"/>
                <w:sz w:val="24"/>
                <w:szCs w:val="24"/>
              </w:rPr>
            </w:pPr>
          </w:p>
        </w:tc>
        <w:tc>
          <w:tcPr>
            <w:tcW w:w="2071" w:type="dxa"/>
            <w:vMerge w:val="restart"/>
            <w:shd w:val="clear" w:color="auto" w:fill="auto"/>
            <w:vAlign w:val="center"/>
          </w:tcPr>
          <w:p w:rsidR="00CE1FEA" w:rsidRPr="00793447" w:rsidRDefault="00CE1FEA" w:rsidP="00C764F9">
            <w:pPr>
              <w:spacing w:after="0" w:line="240" w:lineRule="auto"/>
              <w:jc w:val="center"/>
              <w:rPr>
                <w:rFonts w:asciiTheme="majorHAnsi" w:hAnsiTheme="majorHAnsi"/>
                <w:sz w:val="24"/>
                <w:szCs w:val="24"/>
              </w:rPr>
            </w:pPr>
            <w:r w:rsidRPr="00793447">
              <w:rPr>
                <w:rFonts w:asciiTheme="majorHAnsi" w:hAnsiTheme="majorHAnsi" w:cs="Calibri"/>
                <w:bCs/>
                <w:sz w:val="24"/>
                <w:szCs w:val="24"/>
              </w:rPr>
              <w:t>Monedă naţională</w:t>
            </w:r>
            <w:r w:rsidRPr="00793447">
              <w:rPr>
                <w:rFonts w:asciiTheme="majorHAnsi" w:hAnsiTheme="majorHAnsi" w:cs="Calibri"/>
                <w:bCs/>
                <w:sz w:val="24"/>
                <w:szCs w:val="24"/>
              </w:rPr>
              <w:br/>
              <w:t xml:space="preserve">  - mii lei -</w:t>
            </w:r>
          </w:p>
        </w:tc>
        <w:tc>
          <w:tcPr>
            <w:tcW w:w="3454" w:type="dxa"/>
            <w:gridSpan w:val="2"/>
            <w:shd w:val="clear" w:color="auto" w:fill="auto"/>
          </w:tcPr>
          <w:p w:rsidR="00CE1FEA" w:rsidRPr="00793447" w:rsidRDefault="00CE1FEA" w:rsidP="00C764F9">
            <w:pPr>
              <w:spacing w:after="0" w:line="240" w:lineRule="auto"/>
              <w:jc w:val="center"/>
              <w:rPr>
                <w:rFonts w:asciiTheme="majorHAnsi" w:hAnsiTheme="majorHAnsi"/>
                <w:sz w:val="24"/>
                <w:szCs w:val="24"/>
              </w:rPr>
            </w:pPr>
            <w:r w:rsidRPr="00793447">
              <w:rPr>
                <w:rFonts w:asciiTheme="majorHAnsi" w:hAnsiTheme="majorHAnsi" w:cs="Calibri"/>
                <w:bCs/>
                <w:sz w:val="24"/>
                <w:szCs w:val="24"/>
              </w:rPr>
              <w:t>Valută</w:t>
            </w:r>
          </w:p>
        </w:tc>
      </w:tr>
      <w:tr w:rsidR="00172DE0" w:rsidRPr="00793447" w:rsidTr="00841528">
        <w:tc>
          <w:tcPr>
            <w:tcW w:w="1503" w:type="dxa"/>
            <w:vMerge/>
            <w:shd w:val="clear" w:color="auto" w:fill="auto"/>
          </w:tcPr>
          <w:p w:rsidR="00CE1FEA" w:rsidRPr="00793447" w:rsidRDefault="00CE1FEA" w:rsidP="00C764F9">
            <w:pPr>
              <w:spacing w:after="0" w:line="240" w:lineRule="auto"/>
              <w:jc w:val="both"/>
              <w:rPr>
                <w:rFonts w:asciiTheme="majorHAnsi" w:hAnsiTheme="majorHAnsi"/>
                <w:sz w:val="24"/>
                <w:szCs w:val="24"/>
              </w:rPr>
            </w:pPr>
          </w:p>
        </w:tc>
        <w:tc>
          <w:tcPr>
            <w:tcW w:w="2204" w:type="dxa"/>
            <w:vMerge/>
            <w:shd w:val="clear" w:color="auto" w:fill="auto"/>
          </w:tcPr>
          <w:p w:rsidR="00CE1FEA" w:rsidRPr="00793447" w:rsidRDefault="00CE1FEA" w:rsidP="00C764F9">
            <w:pPr>
              <w:spacing w:after="0" w:line="240" w:lineRule="auto"/>
              <w:jc w:val="both"/>
              <w:rPr>
                <w:rFonts w:asciiTheme="majorHAnsi" w:hAnsiTheme="majorHAnsi"/>
                <w:sz w:val="24"/>
                <w:szCs w:val="24"/>
              </w:rPr>
            </w:pPr>
          </w:p>
        </w:tc>
        <w:tc>
          <w:tcPr>
            <w:tcW w:w="2071" w:type="dxa"/>
            <w:vMerge/>
            <w:shd w:val="clear" w:color="auto" w:fill="auto"/>
          </w:tcPr>
          <w:p w:rsidR="00CE1FEA" w:rsidRPr="00793447" w:rsidRDefault="00CE1FEA" w:rsidP="00C764F9">
            <w:pPr>
              <w:spacing w:after="0" w:line="240" w:lineRule="auto"/>
              <w:jc w:val="both"/>
              <w:rPr>
                <w:rFonts w:asciiTheme="majorHAnsi" w:hAnsiTheme="majorHAnsi"/>
                <w:sz w:val="24"/>
                <w:szCs w:val="24"/>
              </w:rPr>
            </w:pPr>
          </w:p>
        </w:tc>
        <w:tc>
          <w:tcPr>
            <w:tcW w:w="1612" w:type="dxa"/>
            <w:shd w:val="clear" w:color="auto" w:fill="auto"/>
          </w:tcPr>
          <w:p w:rsidR="00CE1FEA" w:rsidRPr="00793447" w:rsidRDefault="00CE1FEA" w:rsidP="00C764F9">
            <w:pPr>
              <w:spacing w:after="0" w:line="240" w:lineRule="auto"/>
              <w:jc w:val="center"/>
              <w:rPr>
                <w:rFonts w:asciiTheme="majorHAnsi" w:hAnsiTheme="majorHAnsi"/>
                <w:sz w:val="24"/>
                <w:szCs w:val="24"/>
              </w:rPr>
            </w:pPr>
            <w:r w:rsidRPr="00793447">
              <w:rPr>
                <w:rFonts w:asciiTheme="majorHAnsi" w:hAnsiTheme="majorHAnsi" w:cs="Calibri"/>
                <w:bCs/>
                <w:sz w:val="24"/>
                <w:szCs w:val="24"/>
              </w:rPr>
              <w:t>Dolari SUA</w:t>
            </w:r>
          </w:p>
        </w:tc>
        <w:tc>
          <w:tcPr>
            <w:tcW w:w="1842" w:type="dxa"/>
            <w:shd w:val="clear" w:color="auto" w:fill="auto"/>
          </w:tcPr>
          <w:p w:rsidR="00CE1FEA" w:rsidRPr="00793447" w:rsidRDefault="00CE1FEA" w:rsidP="00C764F9">
            <w:pPr>
              <w:spacing w:after="0" w:line="240" w:lineRule="auto"/>
              <w:jc w:val="center"/>
              <w:rPr>
                <w:rFonts w:asciiTheme="majorHAnsi" w:hAnsiTheme="majorHAnsi"/>
                <w:sz w:val="24"/>
                <w:szCs w:val="24"/>
              </w:rPr>
            </w:pPr>
            <w:r w:rsidRPr="00793447">
              <w:rPr>
                <w:rFonts w:asciiTheme="majorHAnsi" w:hAnsiTheme="majorHAnsi" w:cs="Calibri"/>
                <w:bCs/>
                <w:sz w:val="24"/>
                <w:szCs w:val="24"/>
              </w:rPr>
              <w:t>EURO</w:t>
            </w:r>
          </w:p>
        </w:tc>
      </w:tr>
      <w:tr w:rsidR="00172DE0" w:rsidRPr="00793447" w:rsidTr="00841528">
        <w:tc>
          <w:tcPr>
            <w:tcW w:w="1503" w:type="dxa"/>
            <w:shd w:val="clear" w:color="auto" w:fill="auto"/>
            <w:vAlign w:val="center"/>
          </w:tcPr>
          <w:p w:rsidR="00681755" w:rsidRPr="00793447" w:rsidRDefault="00681755" w:rsidP="00C764F9">
            <w:pPr>
              <w:spacing w:after="0" w:line="240" w:lineRule="auto"/>
              <w:rPr>
                <w:rFonts w:asciiTheme="majorHAnsi" w:hAnsiTheme="majorHAnsi" w:cs="Calibri"/>
                <w:bCs/>
                <w:sz w:val="24"/>
                <w:szCs w:val="24"/>
              </w:rPr>
            </w:pPr>
            <w:r w:rsidRPr="00793447">
              <w:rPr>
                <w:rFonts w:asciiTheme="majorHAnsi" w:hAnsiTheme="majorHAnsi" w:cs="Calibri"/>
                <w:bCs/>
                <w:sz w:val="24"/>
                <w:szCs w:val="24"/>
              </w:rPr>
              <w:t xml:space="preserve">sem.I </w:t>
            </w:r>
            <w:r w:rsidR="00583A47" w:rsidRPr="00793447">
              <w:rPr>
                <w:rFonts w:asciiTheme="majorHAnsi" w:hAnsiTheme="majorHAnsi" w:cs="Calibri"/>
                <w:bCs/>
                <w:sz w:val="24"/>
                <w:szCs w:val="24"/>
              </w:rPr>
              <w:t>2023</w:t>
            </w:r>
          </w:p>
        </w:tc>
        <w:tc>
          <w:tcPr>
            <w:tcW w:w="2204" w:type="dxa"/>
            <w:shd w:val="clear" w:color="auto" w:fill="auto"/>
            <w:vAlign w:val="center"/>
          </w:tcPr>
          <w:p w:rsidR="00681755" w:rsidRPr="00793447" w:rsidRDefault="006E215F" w:rsidP="00C764F9">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57</w:t>
            </w:r>
          </w:p>
        </w:tc>
        <w:tc>
          <w:tcPr>
            <w:tcW w:w="2071" w:type="dxa"/>
            <w:shd w:val="clear" w:color="auto" w:fill="auto"/>
            <w:vAlign w:val="center"/>
          </w:tcPr>
          <w:p w:rsidR="00681755" w:rsidRPr="00793447" w:rsidRDefault="005C5981" w:rsidP="00C764F9">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3331,5</w:t>
            </w:r>
          </w:p>
        </w:tc>
        <w:tc>
          <w:tcPr>
            <w:tcW w:w="1612" w:type="dxa"/>
            <w:shd w:val="clear" w:color="auto" w:fill="auto"/>
            <w:vAlign w:val="center"/>
          </w:tcPr>
          <w:p w:rsidR="00681755" w:rsidRPr="00793447" w:rsidRDefault="005C5981" w:rsidP="00C764F9">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720129,4</w:t>
            </w:r>
          </w:p>
        </w:tc>
        <w:tc>
          <w:tcPr>
            <w:tcW w:w="1842" w:type="dxa"/>
            <w:shd w:val="clear" w:color="auto" w:fill="auto"/>
            <w:vAlign w:val="center"/>
          </w:tcPr>
          <w:p w:rsidR="00681755" w:rsidRPr="00793447" w:rsidRDefault="005C5981" w:rsidP="00C764F9">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671191,1</w:t>
            </w:r>
          </w:p>
        </w:tc>
      </w:tr>
      <w:tr w:rsidR="00841528" w:rsidRPr="00793447" w:rsidTr="00841528">
        <w:tc>
          <w:tcPr>
            <w:tcW w:w="1503" w:type="dxa"/>
            <w:shd w:val="clear" w:color="auto" w:fill="auto"/>
            <w:vAlign w:val="center"/>
          </w:tcPr>
          <w:p w:rsidR="00841528" w:rsidRPr="00793447" w:rsidRDefault="00841528" w:rsidP="00841528">
            <w:pPr>
              <w:spacing w:after="0" w:line="240" w:lineRule="auto"/>
              <w:rPr>
                <w:rFonts w:asciiTheme="majorHAnsi" w:hAnsiTheme="majorHAnsi" w:cs="Calibri"/>
                <w:bCs/>
                <w:sz w:val="24"/>
                <w:szCs w:val="24"/>
              </w:rPr>
            </w:pPr>
            <w:r w:rsidRPr="00793447">
              <w:rPr>
                <w:rFonts w:asciiTheme="majorHAnsi" w:hAnsiTheme="majorHAnsi" w:cs="Calibri"/>
                <w:bCs/>
                <w:sz w:val="24"/>
                <w:szCs w:val="24"/>
              </w:rPr>
              <w:t>sem. I 2022</w:t>
            </w:r>
          </w:p>
        </w:tc>
        <w:tc>
          <w:tcPr>
            <w:tcW w:w="2204" w:type="dxa"/>
            <w:shd w:val="clear" w:color="auto" w:fill="auto"/>
            <w:vAlign w:val="center"/>
          </w:tcPr>
          <w:p w:rsidR="00841528" w:rsidRPr="00793447" w:rsidRDefault="00841528" w:rsidP="00841528">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56</w:t>
            </w:r>
          </w:p>
        </w:tc>
        <w:tc>
          <w:tcPr>
            <w:tcW w:w="2071" w:type="dxa"/>
            <w:shd w:val="clear" w:color="auto" w:fill="auto"/>
            <w:vAlign w:val="center"/>
          </w:tcPr>
          <w:p w:rsidR="00841528" w:rsidRPr="00793447" w:rsidRDefault="00841528" w:rsidP="00841528">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525,6</w:t>
            </w:r>
          </w:p>
        </w:tc>
        <w:tc>
          <w:tcPr>
            <w:tcW w:w="1612" w:type="dxa"/>
            <w:shd w:val="clear" w:color="auto" w:fill="auto"/>
            <w:vAlign w:val="center"/>
          </w:tcPr>
          <w:p w:rsidR="00841528" w:rsidRPr="00793447" w:rsidRDefault="00841528" w:rsidP="00841528">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115393,7</w:t>
            </w:r>
          </w:p>
        </w:tc>
        <w:tc>
          <w:tcPr>
            <w:tcW w:w="1842" w:type="dxa"/>
            <w:shd w:val="clear" w:color="auto" w:fill="auto"/>
            <w:vAlign w:val="center"/>
          </w:tcPr>
          <w:p w:rsidR="00841528" w:rsidRPr="00793447" w:rsidRDefault="00280DC0" w:rsidP="00841528">
            <w:pPr>
              <w:spacing w:after="0" w:line="240" w:lineRule="auto"/>
              <w:jc w:val="center"/>
              <w:rPr>
                <w:rFonts w:asciiTheme="majorHAnsi" w:hAnsiTheme="majorHAnsi" w:cs="Calibri"/>
                <w:sz w:val="24"/>
                <w:szCs w:val="24"/>
              </w:rPr>
            </w:pPr>
            <w:r w:rsidRPr="00793447">
              <w:rPr>
                <w:rFonts w:asciiTheme="majorHAnsi" w:hAnsiTheme="majorHAnsi" w:cs="Calibri"/>
                <w:sz w:val="24"/>
                <w:szCs w:val="24"/>
              </w:rPr>
              <w:t>106300,5</w:t>
            </w:r>
          </w:p>
        </w:tc>
      </w:tr>
    </w:tbl>
    <w:p w:rsidR="00CE1FEA" w:rsidRPr="00793447" w:rsidRDefault="00CE1FEA" w:rsidP="00CE1FEA">
      <w:pPr>
        <w:jc w:val="both"/>
        <w:rPr>
          <w:rFonts w:asciiTheme="majorHAnsi" w:hAnsiTheme="majorHAnsi"/>
          <w:i/>
          <w:sz w:val="24"/>
          <w:szCs w:val="24"/>
        </w:rPr>
      </w:pPr>
      <w:r w:rsidRPr="00793447">
        <w:rPr>
          <w:rFonts w:asciiTheme="majorHAnsi" w:hAnsiTheme="majorHAnsi"/>
          <w:i/>
          <w:sz w:val="24"/>
          <w:szCs w:val="24"/>
        </w:rPr>
        <w:t>Sursa de date: Oficiul Naţional al Registrului Comerţului</w:t>
      </w:r>
    </w:p>
    <w:p w:rsidR="00CE1FEA" w:rsidRPr="00793447" w:rsidRDefault="00CE1FEA" w:rsidP="00CE1FEA">
      <w:pPr>
        <w:spacing w:after="0" w:line="240" w:lineRule="auto"/>
        <w:jc w:val="both"/>
        <w:rPr>
          <w:rFonts w:asciiTheme="majorHAnsi" w:hAnsiTheme="majorHAnsi"/>
          <w:sz w:val="24"/>
          <w:szCs w:val="24"/>
        </w:rPr>
      </w:pPr>
    </w:p>
    <w:p w:rsidR="00F9703A" w:rsidRPr="00793447" w:rsidRDefault="00F9703A" w:rsidP="00F9703A">
      <w:pPr>
        <w:spacing w:after="0" w:line="240" w:lineRule="auto"/>
        <w:jc w:val="center"/>
        <w:rPr>
          <w:rFonts w:asciiTheme="majorHAnsi" w:hAnsiTheme="majorHAnsi"/>
          <w:b/>
          <w:sz w:val="24"/>
          <w:szCs w:val="24"/>
          <w:lang w:val="ro-RO"/>
        </w:rPr>
      </w:pPr>
      <w:r w:rsidRPr="00793447">
        <w:rPr>
          <w:rFonts w:asciiTheme="majorHAnsi" w:hAnsiTheme="majorHAnsi"/>
          <w:b/>
          <w:sz w:val="24"/>
          <w:szCs w:val="24"/>
          <w:lang w:val="ro-RO"/>
        </w:rPr>
        <w:t xml:space="preserve">Înmatriculări de societăţi comerciale, pe județe, </w:t>
      </w:r>
    </w:p>
    <w:p w:rsidR="00E90BC5" w:rsidRPr="00793447" w:rsidRDefault="00F9703A" w:rsidP="00F9703A">
      <w:pPr>
        <w:spacing w:after="0" w:line="240" w:lineRule="auto"/>
        <w:jc w:val="center"/>
        <w:rPr>
          <w:rFonts w:asciiTheme="majorHAnsi" w:hAnsiTheme="majorHAnsi"/>
          <w:b/>
          <w:sz w:val="24"/>
          <w:szCs w:val="24"/>
        </w:rPr>
      </w:pPr>
      <w:r w:rsidRPr="00793447">
        <w:rPr>
          <w:rFonts w:asciiTheme="majorHAnsi" w:hAnsiTheme="majorHAnsi"/>
          <w:b/>
          <w:sz w:val="24"/>
          <w:szCs w:val="24"/>
          <w:lang w:val="ro-RO"/>
        </w:rPr>
        <w:t xml:space="preserve"> cu participare străină la capitalul social subscris</w:t>
      </w:r>
      <w:r w:rsidRPr="00793447">
        <w:rPr>
          <w:rFonts w:asciiTheme="majorHAnsi" w:hAnsiTheme="majorHAnsi"/>
          <w:b/>
          <w:sz w:val="24"/>
          <w:szCs w:val="24"/>
        </w:rPr>
        <w:t xml:space="preserve"> în sem.I </w:t>
      </w:r>
      <w:r w:rsidR="00583A47" w:rsidRPr="00793447">
        <w:rPr>
          <w:rFonts w:asciiTheme="majorHAnsi" w:hAnsiTheme="majorHAnsi"/>
          <w:b/>
          <w:sz w:val="24"/>
          <w:szCs w:val="24"/>
        </w:rPr>
        <w:t>2023</w:t>
      </w:r>
    </w:p>
    <w:p w:rsidR="009037FC" w:rsidRPr="00793447" w:rsidRDefault="009037FC" w:rsidP="00F9703A">
      <w:pPr>
        <w:spacing w:after="0" w:line="240" w:lineRule="auto"/>
        <w:jc w:val="center"/>
        <w:rPr>
          <w:rFonts w:asciiTheme="majorHAnsi" w:hAnsiTheme="majorHAnsi"/>
          <w:sz w:val="24"/>
          <w:szCs w:val="24"/>
        </w:rPr>
      </w:pPr>
    </w:p>
    <w:p w:rsidR="006E215F" w:rsidRPr="00793447" w:rsidRDefault="00280DC0" w:rsidP="00F9703A">
      <w:pPr>
        <w:jc w:val="center"/>
        <w:rPr>
          <w:rFonts w:asciiTheme="majorHAnsi" w:hAnsiTheme="majorHAnsi"/>
          <w:color w:val="FF0000"/>
          <w:sz w:val="24"/>
          <w:szCs w:val="24"/>
        </w:rPr>
      </w:pPr>
      <w:r w:rsidRPr="00793447">
        <w:rPr>
          <w:rFonts w:asciiTheme="majorHAnsi" w:hAnsiTheme="majorHAnsi"/>
          <w:noProof/>
          <w:color w:val="FF0000"/>
          <w:sz w:val="24"/>
          <w:szCs w:val="24"/>
        </w:rPr>
        <w:drawing>
          <wp:inline distT="0" distB="0" distL="0" distR="0">
            <wp:extent cx="5958840" cy="42132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rta Inmatriculari Societati.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58840" cy="4213225"/>
                    </a:xfrm>
                    <a:prstGeom prst="rect">
                      <a:avLst/>
                    </a:prstGeom>
                  </pic:spPr>
                </pic:pic>
              </a:graphicData>
            </a:graphic>
          </wp:inline>
        </w:drawing>
      </w:r>
    </w:p>
    <w:p w:rsidR="006E215F" w:rsidRPr="00793447" w:rsidRDefault="006E215F" w:rsidP="00F9703A">
      <w:pPr>
        <w:jc w:val="center"/>
        <w:rPr>
          <w:rFonts w:asciiTheme="majorHAnsi" w:hAnsiTheme="majorHAnsi"/>
          <w:color w:val="FF0000"/>
          <w:sz w:val="24"/>
          <w:szCs w:val="24"/>
        </w:rPr>
      </w:pPr>
    </w:p>
    <w:p w:rsidR="001024DC" w:rsidRPr="00793447" w:rsidRDefault="001024DC" w:rsidP="007D242F">
      <w:pPr>
        <w:ind w:firstLine="142"/>
        <w:rPr>
          <w:rFonts w:asciiTheme="majorHAnsi" w:hAnsiTheme="majorHAnsi"/>
          <w:b/>
          <w:bCs/>
          <w:caps/>
          <w:sz w:val="24"/>
          <w:szCs w:val="24"/>
        </w:rPr>
      </w:pPr>
      <w:r w:rsidRPr="00793447">
        <w:rPr>
          <w:rFonts w:asciiTheme="majorHAnsi" w:hAnsiTheme="majorHAnsi"/>
          <w:b/>
          <w:bCs/>
          <w:caps/>
          <w:sz w:val="24"/>
          <w:szCs w:val="24"/>
        </w:rPr>
        <w:t>Î</w:t>
      </w:r>
      <w:r w:rsidR="008A543F" w:rsidRPr="00793447">
        <w:rPr>
          <w:rFonts w:asciiTheme="majorHAnsi" w:hAnsiTheme="majorHAnsi"/>
          <w:b/>
          <w:bCs/>
          <w:caps/>
          <w:sz w:val="24"/>
          <w:szCs w:val="24"/>
        </w:rPr>
        <w:t>nmatriculări noi de vehicule rutiere</w:t>
      </w:r>
      <w:r w:rsidR="00D25F85">
        <w:rPr>
          <w:rFonts w:asciiTheme="majorHAnsi" w:hAnsiTheme="majorHAnsi"/>
          <w:b/>
          <w:bCs/>
          <w:caps/>
          <w:sz w:val="24"/>
          <w:szCs w:val="24"/>
        </w:rPr>
        <w:t xml:space="preserve"> din semestrul i 2023</w:t>
      </w:r>
    </w:p>
    <w:p w:rsidR="001024DC" w:rsidRPr="00793447" w:rsidRDefault="001024DC" w:rsidP="001024DC">
      <w:pPr>
        <w:spacing w:after="0" w:line="240" w:lineRule="auto"/>
        <w:ind w:firstLine="720"/>
        <w:jc w:val="both"/>
        <w:rPr>
          <w:rFonts w:asciiTheme="majorHAnsi" w:eastAsia="Calibri" w:hAnsiTheme="majorHAnsi"/>
          <w:sz w:val="24"/>
          <w:szCs w:val="24"/>
        </w:rPr>
      </w:pPr>
      <w:r w:rsidRPr="00793447">
        <w:rPr>
          <w:rFonts w:asciiTheme="majorHAnsi" w:eastAsia="Calibri" w:hAnsiTheme="majorHAnsi"/>
          <w:sz w:val="24"/>
          <w:szCs w:val="24"/>
        </w:rPr>
        <w:t xml:space="preserve">Transportul rutier, prin intermediul căruia se asigură mobilitatea persoanelor şi a mărfurilor, este o componentă importantă a economiei. </w:t>
      </w:r>
    </w:p>
    <w:p w:rsidR="001024DC" w:rsidRPr="00793447" w:rsidRDefault="001024DC" w:rsidP="001024DC">
      <w:pPr>
        <w:spacing w:after="0" w:line="240" w:lineRule="auto"/>
        <w:ind w:firstLine="720"/>
        <w:jc w:val="both"/>
        <w:rPr>
          <w:rFonts w:asciiTheme="majorHAnsi" w:hAnsiTheme="majorHAnsi"/>
          <w:sz w:val="24"/>
          <w:szCs w:val="24"/>
        </w:rPr>
      </w:pPr>
      <w:r w:rsidRPr="00793447">
        <w:rPr>
          <w:rFonts w:asciiTheme="majorHAnsi" w:eastAsia="Calibri" w:hAnsiTheme="majorHAnsi"/>
          <w:sz w:val="24"/>
          <w:szCs w:val="24"/>
        </w:rPr>
        <w:t xml:space="preserve">Indicatorul </w:t>
      </w:r>
      <w:r w:rsidRPr="00793447">
        <w:rPr>
          <w:rFonts w:asciiTheme="majorHAnsi" w:eastAsia="Calibri" w:hAnsiTheme="majorHAnsi"/>
          <w:i/>
          <w:sz w:val="24"/>
          <w:szCs w:val="24"/>
        </w:rPr>
        <w:t>Înmatriculări noi de vehicule rutiere</w:t>
      </w:r>
      <w:r w:rsidRPr="00793447">
        <w:rPr>
          <w:rFonts w:asciiTheme="majorHAnsi" w:eastAsia="Calibri" w:hAnsiTheme="majorHAnsi"/>
          <w:sz w:val="24"/>
          <w:szCs w:val="24"/>
        </w:rPr>
        <w:t xml:space="preserve"> reflectă în mod adecvat, situaţia pieţei auto în perioadele analizate.</w:t>
      </w:r>
    </w:p>
    <w:p w:rsidR="00866731" w:rsidRPr="00793447" w:rsidRDefault="00866731" w:rsidP="00866731">
      <w:pPr>
        <w:spacing w:after="0" w:line="240" w:lineRule="auto"/>
        <w:ind w:firstLine="720"/>
        <w:jc w:val="both"/>
        <w:rPr>
          <w:rFonts w:asciiTheme="majorHAnsi" w:hAnsiTheme="majorHAnsi"/>
          <w:color w:val="FF0000"/>
          <w:sz w:val="24"/>
          <w:szCs w:val="24"/>
        </w:rPr>
      </w:pPr>
    </w:p>
    <w:p w:rsidR="001024DC" w:rsidRPr="00793447" w:rsidRDefault="00866731" w:rsidP="00866731">
      <w:pPr>
        <w:spacing w:after="0" w:line="240" w:lineRule="auto"/>
        <w:ind w:firstLine="720"/>
        <w:jc w:val="both"/>
        <w:rPr>
          <w:rFonts w:asciiTheme="majorHAnsi" w:hAnsiTheme="majorHAnsi"/>
          <w:sz w:val="24"/>
          <w:szCs w:val="24"/>
        </w:rPr>
      </w:pPr>
      <w:r w:rsidRPr="00793447">
        <w:rPr>
          <w:rFonts w:asciiTheme="majorHAnsi" w:hAnsiTheme="majorHAnsi"/>
          <w:sz w:val="24"/>
          <w:szCs w:val="24"/>
        </w:rPr>
        <w:t xml:space="preserve">În semestrul I </w:t>
      </w:r>
      <w:r w:rsidR="00583A47" w:rsidRPr="00793447">
        <w:rPr>
          <w:rFonts w:asciiTheme="majorHAnsi" w:hAnsiTheme="majorHAnsi"/>
          <w:sz w:val="24"/>
          <w:szCs w:val="24"/>
        </w:rPr>
        <w:t>2023</w:t>
      </w:r>
      <w:r w:rsidRPr="00793447">
        <w:rPr>
          <w:rFonts w:asciiTheme="majorHAnsi" w:hAnsiTheme="majorHAnsi"/>
          <w:sz w:val="24"/>
          <w:szCs w:val="24"/>
        </w:rPr>
        <w:t xml:space="preserve">, numărul de înmatriculări noi de vehicule rutiere pentru transportul pasagerilor a fost de </w:t>
      </w:r>
      <w:r w:rsidR="00765490" w:rsidRPr="00793447">
        <w:rPr>
          <w:rFonts w:asciiTheme="majorHAnsi" w:hAnsiTheme="majorHAnsi"/>
          <w:sz w:val="24"/>
          <w:szCs w:val="24"/>
        </w:rPr>
        <w:t>7097</w:t>
      </w:r>
      <w:r w:rsidRPr="00793447">
        <w:rPr>
          <w:rFonts w:asciiTheme="majorHAnsi" w:hAnsiTheme="majorHAnsi"/>
          <w:sz w:val="24"/>
          <w:szCs w:val="24"/>
        </w:rPr>
        <w:t xml:space="preserve">, în </w:t>
      </w:r>
      <w:r w:rsidR="00FE33F6" w:rsidRPr="00793447">
        <w:rPr>
          <w:rFonts w:asciiTheme="majorHAnsi" w:hAnsiTheme="majorHAnsi"/>
          <w:sz w:val="24"/>
          <w:szCs w:val="24"/>
        </w:rPr>
        <w:t>scădere</w:t>
      </w:r>
      <w:r w:rsidRPr="00793447">
        <w:rPr>
          <w:rFonts w:asciiTheme="majorHAnsi" w:hAnsiTheme="majorHAnsi"/>
          <w:sz w:val="24"/>
          <w:szCs w:val="24"/>
        </w:rPr>
        <w:t xml:space="preserve"> cu </w:t>
      </w:r>
      <w:r w:rsidR="00765490" w:rsidRPr="00793447">
        <w:rPr>
          <w:rFonts w:asciiTheme="majorHAnsi" w:hAnsiTheme="majorHAnsi"/>
          <w:sz w:val="24"/>
          <w:szCs w:val="24"/>
        </w:rPr>
        <w:t>3,0</w:t>
      </w:r>
      <w:r w:rsidRPr="00793447">
        <w:rPr>
          <w:rFonts w:asciiTheme="majorHAnsi" w:hAnsiTheme="majorHAnsi"/>
          <w:sz w:val="24"/>
          <w:szCs w:val="24"/>
        </w:rPr>
        <w:t xml:space="preserve">% faţă de semestrul I </w:t>
      </w:r>
      <w:r w:rsidR="00583A47" w:rsidRPr="00793447">
        <w:rPr>
          <w:rFonts w:asciiTheme="majorHAnsi" w:hAnsiTheme="majorHAnsi"/>
          <w:sz w:val="24"/>
          <w:szCs w:val="24"/>
        </w:rPr>
        <w:t>2022</w:t>
      </w:r>
      <w:r w:rsidRPr="00793447">
        <w:rPr>
          <w:rFonts w:asciiTheme="majorHAnsi" w:hAnsiTheme="majorHAnsi"/>
          <w:sz w:val="24"/>
          <w:szCs w:val="24"/>
        </w:rPr>
        <w:t>.</w:t>
      </w:r>
    </w:p>
    <w:p w:rsidR="00CE09EF" w:rsidRPr="00793447" w:rsidRDefault="00CE09EF" w:rsidP="00CE09EF">
      <w:pPr>
        <w:autoSpaceDE w:val="0"/>
        <w:autoSpaceDN w:val="0"/>
        <w:adjustRightInd w:val="0"/>
        <w:spacing w:after="0" w:line="240" w:lineRule="auto"/>
        <w:ind w:firstLine="720"/>
        <w:jc w:val="both"/>
        <w:rPr>
          <w:rFonts w:asciiTheme="majorHAnsi" w:eastAsia="Calibri" w:hAnsiTheme="majorHAnsi" w:cs="Arial"/>
          <w:sz w:val="24"/>
          <w:szCs w:val="24"/>
        </w:rPr>
      </w:pPr>
      <w:r w:rsidRPr="00793447">
        <w:rPr>
          <w:rFonts w:asciiTheme="majorHAnsi" w:eastAsia="Calibri" w:hAnsiTheme="majorHAnsi" w:cs="Arial"/>
          <w:sz w:val="24"/>
          <w:szCs w:val="24"/>
        </w:rPr>
        <w:t>Au fost înregistrate creṣteri</w:t>
      </w:r>
      <w:r w:rsidR="001045E5" w:rsidRPr="00793447">
        <w:rPr>
          <w:rFonts w:asciiTheme="majorHAnsi" w:eastAsia="Calibri" w:hAnsiTheme="majorHAnsi" w:cs="Arial"/>
          <w:sz w:val="24"/>
          <w:szCs w:val="24"/>
        </w:rPr>
        <w:t xml:space="preserve"> la  ”autobuze ṣi microbuze” cu 203,6%</w:t>
      </w:r>
      <w:r w:rsidRPr="00793447">
        <w:rPr>
          <w:rFonts w:asciiTheme="majorHAnsi" w:eastAsia="Calibri" w:hAnsiTheme="majorHAnsi" w:cs="Arial"/>
          <w:sz w:val="24"/>
          <w:szCs w:val="24"/>
        </w:rPr>
        <w:t xml:space="preserve"> și scăderi </w:t>
      </w:r>
      <w:r w:rsidR="001045E5" w:rsidRPr="00793447">
        <w:rPr>
          <w:rFonts w:asciiTheme="majorHAnsi" w:eastAsia="Calibri" w:hAnsiTheme="majorHAnsi" w:cs="Arial"/>
          <w:sz w:val="24"/>
          <w:szCs w:val="24"/>
        </w:rPr>
        <w:t xml:space="preserve">la "mopede ṣi motociclete” cu 3,3%, </w:t>
      </w:r>
      <w:r w:rsidR="00B15430" w:rsidRPr="00793447">
        <w:rPr>
          <w:rFonts w:asciiTheme="majorHAnsi" w:eastAsia="Calibri" w:hAnsiTheme="majorHAnsi" w:cs="Arial"/>
          <w:sz w:val="24"/>
          <w:szCs w:val="24"/>
        </w:rPr>
        <w:t xml:space="preserve">la "autoturisme″ cu </w:t>
      </w:r>
      <w:r w:rsidR="001045E5" w:rsidRPr="00793447">
        <w:rPr>
          <w:rFonts w:asciiTheme="majorHAnsi" w:eastAsia="Calibri" w:hAnsiTheme="majorHAnsi" w:cs="Arial"/>
          <w:sz w:val="24"/>
          <w:szCs w:val="24"/>
        </w:rPr>
        <w:t>3,8</w:t>
      </w:r>
      <w:r w:rsidR="00B15430" w:rsidRPr="00793447">
        <w:rPr>
          <w:rFonts w:asciiTheme="majorHAnsi" w:eastAsia="Calibri" w:hAnsiTheme="majorHAnsi" w:cs="Arial"/>
          <w:sz w:val="24"/>
          <w:szCs w:val="24"/>
        </w:rPr>
        <w:t>%</w:t>
      </w:r>
      <w:r w:rsidRPr="00793447">
        <w:rPr>
          <w:rFonts w:asciiTheme="majorHAnsi" w:eastAsia="Calibri" w:hAnsiTheme="majorHAnsi" w:cs="Arial"/>
          <w:sz w:val="24"/>
          <w:szCs w:val="24"/>
        </w:rPr>
        <w:t xml:space="preserve"> .</w:t>
      </w:r>
    </w:p>
    <w:p w:rsidR="00C11998" w:rsidRPr="00793447" w:rsidRDefault="00941C7B" w:rsidP="00B12DC3">
      <w:pPr>
        <w:spacing w:after="0" w:line="240" w:lineRule="auto"/>
        <w:ind w:firstLine="720"/>
        <w:jc w:val="both"/>
        <w:rPr>
          <w:rFonts w:asciiTheme="majorHAnsi" w:hAnsiTheme="majorHAnsi"/>
          <w:color w:val="FF0000"/>
          <w:sz w:val="24"/>
          <w:szCs w:val="24"/>
        </w:rPr>
      </w:pPr>
      <w:r w:rsidRPr="00793447">
        <w:rPr>
          <w:rFonts w:asciiTheme="majorHAnsi" w:hAnsiTheme="majorHAnsi"/>
          <w:sz w:val="24"/>
          <w:szCs w:val="24"/>
        </w:rPr>
        <w:t xml:space="preserve">Ponderea vehiculelor noi în totalul înmatriculărilor noi de vehicule pentru transportul pasagerilor a fost de </w:t>
      </w:r>
      <w:r w:rsidR="001045E5" w:rsidRPr="00793447">
        <w:rPr>
          <w:rFonts w:asciiTheme="majorHAnsi" w:hAnsiTheme="majorHAnsi"/>
          <w:sz w:val="24"/>
          <w:szCs w:val="24"/>
        </w:rPr>
        <w:t>24,7</w:t>
      </w:r>
      <w:r w:rsidRPr="00793447">
        <w:rPr>
          <w:rFonts w:asciiTheme="majorHAnsi" w:hAnsiTheme="majorHAnsi"/>
          <w:sz w:val="24"/>
          <w:szCs w:val="24"/>
        </w:rPr>
        <w:t xml:space="preserve">%, în </w:t>
      </w:r>
      <w:r w:rsidR="007E4699" w:rsidRPr="00793447">
        <w:rPr>
          <w:rFonts w:asciiTheme="majorHAnsi" w:hAnsiTheme="majorHAnsi"/>
          <w:sz w:val="24"/>
          <w:szCs w:val="24"/>
        </w:rPr>
        <w:t>creștere</w:t>
      </w:r>
      <w:r w:rsidRPr="00793447">
        <w:rPr>
          <w:rFonts w:asciiTheme="majorHAnsi" w:hAnsiTheme="majorHAnsi"/>
          <w:sz w:val="24"/>
          <w:szCs w:val="24"/>
        </w:rPr>
        <w:t xml:space="preserve"> faṭă de semestrul I </w:t>
      </w:r>
      <w:r w:rsidR="00583A47" w:rsidRPr="00793447">
        <w:rPr>
          <w:rFonts w:asciiTheme="majorHAnsi" w:hAnsiTheme="majorHAnsi"/>
          <w:sz w:val="24"/>
          <w:szCs w:val="24"/>
        </w:rPr>
        <w:t>2022</w:t>
      </w:r>
      <w:r w:rsidRPr="00793447">
        <w:rPr>
          <w:rFonts w:asciiTheme="majorHAnsi" w:hAnsiTheme="majorHAnsi"/>
          <w:sz w:val="24"/>
          <w:szCs w:val="24"/>
        </w:rPr>
        <w:t xml:space="preserve">, când ponderea a fost de </w:t>
      </w:r>
      <w:r w:rsidR="004909FC" w:rsidRPr="00793447">
        <w:rPr>
          <w:rFonts w:asciiTheme="majorHAnsi" w:hAnsiTheme="majorHAnsi"/>
          <w:sz w:val="24"/>
          <w:szCs w:val="24"/>
        </w:rPr>
        <w:t>19,</w:t>
      </w:r>
      <w:r w:rsidR="00280DC0" w:rsidRPr="00793447">
        <w:rPr>
          <w:rFonts w:asciiTheme="majorHAnsi" w:hAnsiTheme="majorHAnsi"/>
          <w:sz w:val="24"/>
          <w:szCs w:val="24"/>
        </w:rPr>
        <w:t>6</w:t>
      </w:r>
      <w:r w:rsidRPr="00793447">
        <w:rPr>
          <w:rFonts w:asciiTheme="majorHAnsi" w:hAnsiTheme="majorHAnsi"/>
          <w:sz w:val="24"/>
          <w:szCs w:val="24"/>
        </w:rPr>
        <w:t>%.</w:t>
      </w:r>
    </w:p>
    <w:p w:rsidR="00C11998" w:rsidRPr="00793447" w:rsidRDefault="00C11998" w:rsidP="00F9703A">
      <w:pPr>
        <w:jc w:val="center"/>
        <w:rPr>
          <w:rFonts w:asciiTheme="majorHAnsi" w:hAnsiTheme="majorHAnsi"/>
          <w:color w:val="FF0000"/>
          <w:sz w:val="24"/>
          <w:szCs w:val="24"/>
        </w:rPr>
      </w:pPr>
    </w:p>
    <w:p w:rsidR="001024DC" w:rsidRPr="00793447" w:rsidRDefault="001024DC" w:rsidP="00F9703A">
      <w:pPr>
        <w:jc w:val="center"/>
        <w:rPr>
          <w:rFonts w:asciiTheme="majorHAnsi" w:hAnsiTheme="majorHAnsi"/>
          <w:sz w:val="24"/>
          <w:szCs w:val="24"/>
        </w:rPr>
      </w:pPr>
      <w:r w:rsidRPr="00793447">
        <w:rPr>
          <w:rFonts w:asciiTheme="majorHAnsi" w:hAnsiTheme="majorHAnsi"/>
          <w:sz w:val="24"/>
          <w:szCs w:val="24"/>
        </w:rPr>
        <w:t>Î</w:t>
      </w:r>
      <w:r w:rsidR="008A543F" w:rsidRPr="00793447">
        <w:rPr>
          <w:rFonts w:asciiTheme="majorHAnsi" w:hAnsiTheme="majorHAnsi"/>
          <w:sz w:val="24"/>
          <w:szCs w:val="24"/>
        </w:rPr>
        <w:t>nmatriculări noi de vehicule rutiere pentru transportul</w:t>
      </w:r>
      <w:r w:rsidR="008A543F" w:rsidRPr="00793447">
        <w:rPr>
          <w:rFonts w:asciiTheme="majorHAnsi" w:hAnsiTheme="majorHAnsi"/>
          <w:b/>
          <w:sz w:val="24"/>
          <w:szCs w:val="24"/>
        </w:rPr>
        <w:t xml:space="preserve"> </w:t>
      </w:r>
      <w:r w:rsidR="008A543F" w:rsidRPr="00793447">
        <w:rPr>
          <w:rFonts w:asciiTheme="majorHAnsi" w:hAnsiTheme="majorHAnsi"/>
          <w:sz w:val="24"/>
          <w:szCs w:val="24"/>
        </w:rPr>
        <w:t>pasagerilor</w:t>
      </w:r>
    </w:p>
    <w:tbl>
      <w:tblPr>
        <w:tblW w:w="9365" w:type="dxa"/>
        <w:tblInd w:w="93" w:type="dxa"/>
        <w:tblLayout w:type="fixed"/>
        <w:tblLook w:val="04A0" w:firstRow="1" w:lastRow="0" w:firstColumn="1" w:lastColumn="0" w:noHBand="0" w:noVBand="1"/>
      </w:tblPr>
      <w:tblGrid>
        <w:gridCol w:w="1149"/>
        <w:gridCol w:w="443"/>
        <w:gridCol w:w="833"/>
        <w:gridCol w:w="235"/>
        <w:gridCol w:w="1135"/>
        <w:gridCol w:w="1182"/>
        <w:gridCol w:w="681"/>
        <w:gridCol w:w="878"/>
        <w:gridCol w:w="190"/>
        <w:gridCol w:w="1135"/>
        <w:gridCol w:w="92"/>
        <w:gridCol w:w="1276"/>
        <w:gridCol w:w="136"/>
      </w:tblGrid>
      <w:tr w:rsidR="00E84833" w:rsidRPr="00793447" w:rsidTr="0009370A">
        <w:trPr>
          <w:trHeight w:val="300"/>
        </w:trPr>
        <w:tc>
          <w:tcPr>
            <w:tcW w:w="1592" w:type="dxa"/>
            <w:gridSpan w:val="2"/>
            <w:tcBorders>
              <w:top w:val="nil"/>
              <w:left w:val="nil"/>
              <w:bottom w:val="nil"/>
              <w:right w:val="nil"/>
            </w:tcBorders>
            <w:shd w:val="clear" w:color="auto" w:fill="auto"/>
            <w:noWrap/>
            <w:vAlign w:val="bottom"/>
            <w:hideMark/>
          </w:tcPr>
          <w:p w:rsidR="001024DC" w:rsidRPr="00793447" w:rsidRDefault="001024DC" w:rsidP="001024DC">
            <w:pPr>
              <w:spacing w:after="0" w:line="240" w:lineRule="auto"/>
              <w:rPr>
                <w:rFonts w:asciiTheme="majorHAnsi" w:hAnsiTheme="majorHAnsi" w:cs="Calibri"/>
                <w:sz w:val="24"/>
                <w:szCs w:val="24"/>
              </w:rPr>
            </w:pPr>
          </w:p>
        </w:tc>
        <w:tc>
          <w:tcPr>
            <w:tcW w:w="1068" w:type="dxa"/>
            <w:gridSpan w:val="2"/>
            <w:tcBorders>
              <w:top w:val="nil"/>
              <w:left w:val="nil"/>
              <w:bottom w:val="nil"/>
              <w:right w:val="nil"/>
            </w:tcBorders>
            <w:shd w:val="clear" w:color="auto" w:fill="auto"/>
            <w:noWrap/>
            <w:vAlign w:val="bottom"/>
            <w:hideMark/>
          </w:tcPr>
          <w:p w:rsidR="001024DC" w:rsidRPr="00793447" w:rsidRDefault="001024DC" w:rsidP="001024DC">
            <w:pPr>
              <w:spacing w:after="0" w:line="240" w:lineRule="auto"/>
              <w:rPr>
                <w:rFonts w:asciiTheme="majorHAnsi" w:hAnsiTheme="majorHAnsi" w:cs="Calibri"/>
                <w:sz w:val="24"/>
                <w:szCs w:val="24"/>
              </w:rPr>
            </w:pPr>
          </w:p>
        </w:tc>
        <w:tc>
          <w:tcPr>
            <w:tcW w:w="1135" w:type="dxa"/>
            <w:tcBorders>
              <w:top w:val="nil"/>
              <w:left w:val="nil"/>
              <w:bottom w:val="nil"/>
              <w:right w:val="nil"/>
            </w:tcBorders>
            <w:shd w:val="clear" w:color="auto" w:fill="auto"/>
            <w:noWrap/>
            <w:vAlign w:val="bottom"/>
            <w:hideMark/>
          </w:tcPr>
          <w:p w:rsidR="001024DC" w:rsidRPr="00793447" w:rsidRDefault="001024DC" w:rsidP="001024DC">
            <w:pPr>
              <w:spacing w:after="0" w:line="240" w:lineRule="auto"/>
              <w:rPr>
                <w:rFonts w:asciiTheme="majorHAnsi" w:hAnsiTheme="majorHAnsi" w:cs="Calibri"/>
                <w:sz w:val="24"/>
                <w:szCs w:val="24"/>
              </w:rPr>
            </w:pPr>
          </w:p>
        </w:tc>
        <w:tc>
          <w:tcPr>
            <w:tcW w:w="1182" w:type="dxa"/>
            <w:tcBorders>
              <w:top w:val="nil"/>
              <w:left w:val="nil"/>
              <w:bottom w:val="nil"/>
              <w:right w:val="nil"/>
            </w:tcBorders>
            <w:shd w:val="clear" w:color="auto" w:fill="auto"/>
            <w:noWrap/>
            <w:vAlign w:val="bottom"/>
            <w:hideMark/>
          </w:tcPr>
          <w:p w:rsidR="001024DC" w:rsidRPr="00793447" w:rsidRDefault="001024DC" w:rsidP="001024DC">
            <w:pPr>
              <w:spacing w:after="0" w:line="240" w:lineRule="auto"/>
              <w:rPr>
                <w:rFonts w:asciiTheme="majorHAnsi" w:hAnsiTheme="majorHAnsi" w:cs="Calibri"/>
                <w:sz w:val="24"/>
                <w:szCs w:val="24"/>
              </w:rPr>
            </w:pPr>
          </w:p>
        </w:tc>
        <w:tc>
          <w:tcPr>
            <w:tcW w:w="681" w:type="dxa"/>
            <w:tcBorders>
              <w:top w:val="nil"/>
              <w:left w:val="nil"/>
              <w:bottom w:val="nil"/>
              <w:right w:val="nil"/>
            </w:tcBorders>
            <w:shd w:val="clear" w:color="auto" w:fill="auto"/>
            <w:noWrap/>
            <w:vAlign w:val="bottom"/>
            <w:hideMark/>
          </w:tcPr>
          <w:p w:rsidR="001024DC" w:rsidRPr="00793447" w:rsidRDefault="001024DC" w:rsidP="001024DC">
            <w:pPr>
              <w:spacing w:after="0" w:line="240" w:lineRule="auto"/>
              <w:rPr>
                <w:rFonts w:asciiTheme="majorHAnsi" w:hAnsiTheme="majorHAnsi" w:cs="Calibri"/>
                <w:sz w:val="24"/>
                <w:szCs w:val="24"/>
              </w:rPr>
            </w:pPr>
          </w:p>
        </w:tc>
        <w:tc>
          <w:tcPr>
            <w:tcW w:w="1068" w:type="dxa"/>
            <w:gridSpan w:val="2"/>
            <w:tcBorders>
              <w:top w:val="nil"/>
              <w:left w:val="nil"/>
              <w:bottom w:val="nil"/>
              <w:right w:val="nil"/>
            </w:tcBorders>
            <w:shd w:val="clear" w:color="auto" w:fill="auto"/>
            <w:noWrap/>
            <w:vAlign w:val="bottom"/>
            <w:hideMark/>
          </w:tcPr>
          <w:p w:rsidR="001024DC" w:rsidRPr="00793447" w:rsidRDefault="001024DC" w:rsidP="001024DC">
            <w:pPr>
              <w:spacing w:after="0" w:line="240" w:lineRule="auto"/>
              <w:rPr>
                <w:rFonts w:asciiTheme="majorHAnsi" w:hAnsiTheme="majorHAnsi" w:cs="Calibri"/>
                <w:sz w:val="24"/>
                <w:szCs w:val="24"/>
              </w:rPr>
            </w:pPr>
          </w:p>
        </w:tc>
        <w:tc>
          <w:tcPr>
            <w:tcW w:w="1135" w:type="dxa"/>
            <w:tcBorders>
              <w:top w:val="nil"/>
              <w:left w:val="nil"/>
              <w:bottom w:val="nil"/>
              <w:right w:val="nil"/>
            </w:tcBorders>
            <w:shd w:val="clear" w:color="auto" w:fill="auto"/>
            <w:noWrap/>
            <w:vAlign w:val="bottom"/>
            <w:hideMark/>
          </w:tcPr>
          <w:p w:rsidR="001024DC" w:rsidRPr="00793447" w:rsidRDefault="001024DC" w:rsidP="001024DC">
            <w:pPr>
              <w:spacing w:after="0" w:line="240" w:lineRule="auto"/>
              <w:rPr>
                <w:rFonts w:asciiTheme="majorHAnsi" w:hAnsiTheme="majorHAnsi" w:cs="Calibri"/>
                <w:sz w:val="24"/>
                <w:szCs w:val="24"/>
              </w:rPr>
            </w:pPr>
          </w:p>
        </w:tc>
        <w:tc>
          <w:tcPr>
            <w:tcW w:w="1504" w:type="dxa"/>
            <w:gridSpan w:val="3"/>
            <w:tcBorders>
              <w:top w:val="nil"/>
              <w:left w:val="nil"/>
              <w:bottom w:val="nil"/>
              <w:right w:val="nil"/>
            </w:tcBorders>
            <w:shd w:val="clear" w:color="auto" w:fill="auto"/>
            <w:noWrap/>
            <w:vAlign w:val="center"/>
            <w:hideMark/>
          </w:tcPr>
          <w:p w:rsidR="001024DC" w:rsidRPr="00793447" w:rsidRDefault="001024DC" w:rsidP="001024DC">
            <w:pPr>
              <w:spacing w:after="0" w:line="240" w:lineRule="auto"/>
              <w:jc w:val="right"/>
              <w:rPr>
                <w:rFonts w:asciiTheme="majorHAnsi" w:hAnsiTheme="majorHAnsi" w:cs="Calibri"/>
                <w:sz w:val="24"/>
                <w:szCs w:val="24"/>
              </w:rPr>
            </w:pPr>
            <w:r w:rsidRPr="00793447">
              <w:rPr>
                <w:rFonts w:asciiTheme="majorHAnsi" w:hAnsiTheme="majorHAnsi" w:cs="Calibri"/>
                <w:sz w:val="24"/>
                <w:szCs w:val="24"/>
              </w:rPr>
              <w:t xml:space="preserve"> - număr -</w:t>
            </w:r>
          </w:p>
        </w:tc>
      </w:tr>
      <w:tr w:rsidR="00E84833" w:rsidRPr="00D25F85" w:rsidTr="0009370A">
        <w:trPr>
          <w:gridAfter w:val="1"/>
          <w:wAfter w:w="136" w:type="dxa"/>
          <w:trHeight w:val="300"/>
        </w:trPr>
        <w:tc>
          <w:tcPr>
            <w:tcW w:w="1149"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1024DC" w:rsidRPr="00D25F85" w:rsidRDefault="001024DC" w:rsidP="001024DC">
            <w:pPr>
              <w:spacing w:after="0" w:line="240" w:lineRule="auto"/>
              <w:rPr>
                <w:rFonts w:asciiTheme="majorHAnsi" w:hAnsiTheme="majorHAnsi" w:cs="Calibri"/>
                <w:b/>
                <w:bCs/>
                <w:sz w:val="18"/>
                <w:szCs w:val="18"/>
              </w:rPr>
            </w:pPr>
            <w:r w:rsidRPr="00D25F85">
              <w:rPr>
                <w:rFonts w:asciiTheme="majorHAnsi" w:hAnsiTheme="majorHAnsi" w:cs="Calibri"/>
                <w:b/>
                <w:bCs/>
                <w:sz w:val="18"/>
                <w:szCs w:val="18"/>
              </w:rPr>
              <w:t xml:space="preserve">   Prahova</w:t>
            </w:r>
          </w:p>
        </w:tc>
        <w:tc>
          <w:tcPr>
            <w:tcW w:w="3828" w:type="dxa"/>
            <w:gridSpan w:val="5"/>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24DC" w:rsidRPr="00D25F85" w:rsidRDefault="001024DC" w:rsidP="001024DC">
            <w:pPr>
              <w:spacing w:after="0" w:line="240" w:lineRule="auto"/>
              <w:jc w:val="center"/>
              <w:rPr>
                <w:rFonts w:asciiTheme="majorHAnsi" w:hAnsiTheme="majorHAnsi" w:cs="Calibri"/>
                <w:b/>
                <w:bCs/>
                <w:sz w:val="18"/>
                <w:szCs w:val="18"/>
              </w:rPr>
            </w:pPr>
            <w:r w:rsidRPr="00D25F85">
              <w:rPr>
                <w:rFonts w:asciiTheme="majorHAnsi" w:hAnsiTheme="majorHAnsi" w:cs="Calibri"/>
                <w:b/>
                <w:bCs/>
                <w:sz w:val="18"/>
                <w:szCs w:val="18"/>
              </w:rPr>
              <w:t>Vehicule noi</w:t>
            </w:r>
          </w:p>
        </w:tc>
        <w:tc>
          <w:tcPr>
            <w:tcW w:w="4252" w:type="dxa"/>
            <w:gridSpan w:val="6"/>
            <w:vMerge w:val="restart"/>
            <w:tcBorders>
              <w:top w:val="single" w:sz="4" w:space="0" w:color="auto"/>
              <w:left w:val="single" w:sz="4" w:space="0" w:color="auto"/>
              <w:bottom w:val="single" w:sz="4" w:space="0" w:color="000000"/>
              <w:right w:val="nil"/>
            </w:tcBorders>
            <w:shd w:val="clear" w:color="auto" w:fill="auto"/>
            <w:noWrap/>
            <w:vAlign w:val="center"/>
            <w:hideMark/>
          </w:tcPr>
          <w:p w:rsidR="001024DC" w:rsidRPr="00D25F85" w:rsidRDefault="001024DC" w:rsidP="001024DC">
            <w:pPr>
              <w:spacing w:after="0" w:line="240" w:lineRule="auto"/>
              <w:jc w:val="center"/>
              <w:rPr>
                <w:rFonts w:asciiTheme="majorHAnsi" w:hAnsiTheme="majorHAnsi" w:cs="Calibri"/>
                <w:b/>
                <w:bCs/>
                <w:sz w:val="18"/>
                <w:szCs w:val="18"/>
              </w:rPr>
            </w:pPr>
            <w:r w:rsidRPr="00D25F85">
              <w:rPr>
                <w:rFonts w:asciiTheme="majorHAnsi" w:hAnsiTheme="majorHAnsi" w:cs="Calibri"/>
                <w:b/>
                <w:bCs/>
                <w:sz w:val="18"/>
                <w:szCs w:val="18"/>
              </w:rPr>
              <w:t>Vehicule importate second hand</w:t>
            </w:r>
          </w:p>
        </w:tc>
      </w:tr>
      <w:tr w:rsidR="00E84833" w:rsidRPr="00D25F85" w:rsidTr="0009370A">
        <w:trPr>
          <w:gridAfter w:val="1"/>
          <w:wAfter w:w="136" w:type="dxa"/>
          <w:trHeight w:val="300"/>
        </w:trPr>
        <w:tc>
          <w:tcPr>
            <w:tcW w:w="1149" w:type="dxa"/>
            <w:vMerge/>
            <w:tcBorders>
              <w:top w:val="single" w:sz="4" w:space="0" w:color="000000"/>
              <w:left w:val="nil"/>
              <w:bottom w:val="single" w:sz="4" w:space="0" w:color="000000"/>
              <w:right w:val="single" w:sz="4" w:space="0" w:color="auto"/>
            </w:tcBorders>
            <w:vAlign w:val="center"/>
            <w:hideMark/>
          </w:tcPr>
          <w:p w:rsidR="001024DC" w:rsidRPr="00D25F85" w:rsidRDefault="001024DC" w:rsidP="001024DC">
            <w:pPr>
              <w:spacing w:after="0" w:line="240" w:lineRule="auto"/>
              <w:rPr>
                <w:rFonts w:asciiTheme="majorHAnsi" w:hAnsiTheme="majorHAnsi" w:cs="Calibri"/>
                <w:b/>
                <w:bCs/>
                <w:sz w:val="18"/>
                <w:szCs w:val="18"/>
              </w:rPr>
            </w:pPr>
          </w:p>
        </w:tc>
        <w:tc>
          <w:tcPr>
            <w:tcW w:w="3828" w:type="dxa"/>
            <w:gridSpan w:val="5"/>
            <w:vMerge/>
            <w:tcBorders>
              <w:top w:val="single" w:sz="4" w:space="0" w:color="auto"/>
              <w:left w:val="single" w:sz="4" w:space="0" w:color="auto"/>
              <w:bottom w:val="single" w:sz="4" w:space="0" w:color="000000"/>
              <w:right w:val="single" w:sz="4" w:space="0" w:color="auto"/>
            </w:tcBorders>
            <w:vAlign w:val="center"/>
            <w:hideMark/>
          </w:tcPr>
          <w:p w:rsidR="001024DC" w:rsidRPr="00D25F85" w:rsidRDefault="001024DC" w:rsidP="001024DC">
            <w:pPr>
              <w:spacing w:after="0" w:line="240" w:lineRule="auto"/>
              <w:rPr>
                <w:rFonts w:asciiTheme="majorHAnsi" w:hAnsiTheme="majorHAnsi" w:cs="Calibri"/>
                <w:b/>
                <w:bCs/>
                <w:sz w:val="18"/>
                <w:szCs w:val="18"/>
              </w:rPr>
            </w:pPr>
          </w:p>
        </w:tc>
        <w:tc>
          <w:tcPr>
            <w:tcW w:w="4252" w:type="dxa"/>
            <w:gridSpan w:val="6"/>
            <w:vMerge/>
            <w:tcBorders>
              <w:top w:val="nil"/>
              <w:left w:val="single" w:sz="4" w:space="0" w:color="auto"/>
              <w:bottom w:val="single" w:sz="4" w:space="0" w:color="auto"/>
              <w:right w:val="nil"/>
            </w:tcBorders>
            <w:vAlign w:val="center"/>
            <w:hideMark/>
          </w:tcPr>
          <w:p w:rsidR="001024DC" w:rsidRPr="00D25F85" w:rsidRDefault="001024DC" w:rsidP="001024DC">
            <w:pPr>
              <w:spacing w:after="0" w:line="240" w:lineRule="auto"/>
              <w:rPr>
                <w:rFonts w:asciiTheme="majorHAnsi" w:hAnsiTheme="majorHAnsi" w:cs="Calibri"/>
                <w:b/>
                <w:bCs/>
                <w:sz w:val="18"/>
                <w:szCs w:val="18"/>
              </w:rPr>
            </w:pPr>
          </w:p>
        </w:tc>
      </w:tr>
      <w:tr w:rsidR="00E84833" w:rsidRPr="00D25F85" w:rsidTr="0009370A">
        <w:trPr>
          <w:gridAfter w:val="1"/>
          <w:wAfter w:w="136" w:type="dxa"/>
          <w:trHeight w:val="810"/>
        </w:trPr>
        <w:tc>
          <w:tcPr>
            <w:tcW w:w="1149" w:type="dxa"/>
            <w:vMerge/>
            <w:tcBorders>
              <w:top w:val="single" w:sz="4" w:space="0" w:color="000000"/>
              <w:left w:val="nil"/>
              <w:bottom w:val="single" w:sz="4" w:space="0" w:color="000000"/>
              <w:right w:val="single" w:sz="4" w:space="0" w:color="auto"/>
            </w:tcBorders>
            <w:vAlign w:val="center"/>
            <w:hideMark/>
          </w:tcPr>
          <w:p w:rsidR="001024DC" w:rsidRPr="00D25F85" w:rsidRDefault="001024DC" w:rsidP="001024DC">
            <w:pPr>
              <w:spacing w:after="0" w:line="240" w:lineRule="auto"/>
              <w:rPr>
                <w:rFonts w:asciiTheme="majorHAnsi" w:hAnsiTheme="majorHAnsi" w:cs="Calibri"/>
                <w:b/>
                <w:bCs/>
                <w:sz w:val="18"/>
                <w:szCs w:val="18"/>
              </w:rPr>
            </w:pPr>
          </w:p>
        </w:tc>
        <w:tc>
          <w:tcPr>
            <w:tcW w:w="1276" w:type="dxa"/>
            <w:gridSpan w:val="2"/>
            <w:tcBorders>
              <w:top w:val="nil"/>
              <w:left w:val="single" w:sz="4" w:space="0" w:color="auto"/>
              <w:bottom w:val="single" w:sz="4" w:space="0" w:color="auto"/>
              <w:right w:val="nil"/>
            </w:tcBorders>
            <w:shd w:val="clear" w:color="auto" w:fill="auto"/>
            <w:vAlign w:val="center"/>
            <w:hideMark/>
          </w:tcPr>
          <w:p w:rsidR="001024DC" w:rsidRPr="00D25F85" w:rsidRDefault="001024DC" w:rsidP="001024DC">
            <w:pPr>
              <w:spacing w:after="0" w:line="240" w:lineRule="auto"/>
              <w:jc w:val="right"/>
              <w:rPr>
                <w:rFonts w:asciiTheme="majorHAnsi" w:hAnsiTheme="majorHAnsi" w:cs="Calibri"/>
                <w:b/>
                <w:bCs/>
                <w:sz w:val="18"/>
                <w:szCs w:val="18"/>
              </w:rPr>
            </w:pPr>
            <w:r w:rsidRPr="00D25F85">
              <w:rPr>
                <w:rFonts w:asciiTheme="majorHAnsi" w:hAnsiTheme="majorHAnsi" w:cs="Calibri"/>
                <w:b/>
                <w:bCs/>
                <w:sz w:val="18"/>
                <w:szCs w:val="18"/>
              </w:rPr>
              <w:t xml:space="preserve"> Mopede şi motociclete </w:t>
            </w:r>
          </w:p>
        </w:tc>
        <w:tc>
          <w:tcPr>
            <w:tcW w:w="1370" w:type="dxa"/>
            <w:gridSpan w:val="2"/>
            <w:tcBorders>
              <w:top w:val="nil"/>
              <w:left w:val="nil"/>
              <w:bottom w:val="single" w:sz="4" w:space="0" w:color="auto"/>
              <w:right w:val="nil"/>
            </w:tcBorders>
            <w:shd w:val="clear" w:color="auto" w:fill="auto"/>
            <w:vAlign w:val="center"/>
            <w:hideMark/>
          </w:tcPr>
          <w:p w:rsidR="001024DC" w:rsidRPr="00D25F85" w:rsidRDefault="001024DC" w:rsidP="001024DC">
            <w:pPr>
              <w:spacing w:after="0" w:line="240" w:lineRule="auto"/>
              <w:jc w:val="right"/>
              <w:rPr>
                <w:rFonts w:asciiTheme="majorHAnsi" w:hAnsiTheme="majorHAnsi" w:cs="Calibri"/>
                <w:b/>
                <w:bCs/>
                <w:sz w:val="18"/>
                <w:szCs w:val="18"/>
              </w:rPr>
            </w:pPr>
            <w:r w:rsidRPr="00D25F85">
              <w:rPr>
                <w:rFonts w:asciiTheme="majorHAnsi" w:hAnsiTheme="majorHAnsi" w:cs="Calibri"/>
                <w:b/>
                <w:bCs/>
                <w:sz w:val="18"/>
                <w:szCs w:val="18"/>
              </w:rPr>
              <w:t xml:space="preserve"> Autoturisme</w:t>
            </w:r>
          </w:p>
        </w:tc>
        <w:tc>
          <w:tcPr>
            <w:tcW w:w="1182" w:type="dxa"/>
            <w:tcBorders>
              <w:top w:val="nil"/>
              <w:left w:val="nil"/>
              <w:bottom w:val="single" w:sz="4" w:space="0" w:color="auto"/>
              <w:right w:val="single" w:sz="4" w:space="0" w:color="auto"/>
            </w:tcBorders>
            <w:shd w:val="clear" w:color="auto" w:fill="auto"/>
            <w:vAlign w:val="center"/>
            <w:hideMark/>
          </w:tcPr>
          <w:p w:rsidR="001024DC" w:rsidRPr="00D25F85" w:rsidRDefault="001024DC" w:rsidP="001024DC">
            <w:pPr>
              <w:spacing w:after="0" w:line="240" w:lineRule="auto"/>
              <w:jc w:val="right"/>
              <w:rPr>
                <w:rFonts w:asciiTheme="majorHAnsi" w:hAnsiTheme="majorHAnsi" w:cs="Calibri"/>
                <w:b/>
                <w:bCs/>
                <w:sz w:val="18"/>
                <w:szCs w:val="18"/>
              </w:rPr>
            </w:pPr>
            <w:r w:rsidRPr="00D25F85">
              <w:rPr>
                <w:rFonts w:asciiTheme="majorHAnsi" w:hAnsiTheme="majorHAnsi" w:cs="Calibri"/>
                <w:b/>
                <w:bCs/>
                <w:sz w:val="18"/>
                <w:szCs w:val="18"/>
              </w:rPr>
              <w:t xml:space="preserve"> Autobuze şi microbuze</w:t>
            </w:r>
          </w:p>
        </w:tc>
        <w:tc>
          <w:tcPr>
            <w:tcW w:w="1559" w:type="dxa"/>
            <w:gridSpan w:val="2"/>
            <w:tcBorders>
              <w:top w:val="nil"/>
              <w:left w:val="single" w:sz="4" w:space="0" w:color="auto"/>
              <w:bottom w:val="single" w:sz="4" w:space="0" w:color="auto"/>
              <w:right w:val="nil"/>
            </w:tcBorders>
            <w:shd w:val="clear" w:color="auto" w:fill="auto"/>
            <w:vAlign w:val="center"/>
            <w:hideMark/>
          </w:tcPr>
          <w:p w:rsidR="001024DC" w:rsidRPr="00D25F85" w:rsidRDefault="001024DC" w:rsidP="001024DC">
            <w:pPr>
              <w:spacing w:after="0" w:line="240" w:lineRule="auto"/>
              <w:jc w:val="right"/>
              <w:rPr>
                <w:rFonts w:asciiTheme="majorHAnsi" w:hAnsiTheme="majorHAnsi" w:cs="Calibri"/>
                <w:b/>
                <w:bCs/>
                <w:sz w:val="18"/>
                <w:szCs w:val="18"/>
              </w:rPr>
            </w:pPr>
            <w:r w:rsidRPr="00D25F85">
              <w:rPr>
                <w:rFonts w:asciiTheme="majorHAnsi" w:hAnsiTheme="majorHAnsi" w:cs="Calibri"/>
                <w:b/>
                <w:bCs/>
                <w:sz w:val="18"/>
                <w:szCs w:val="18"/>
              </w:rPr>
              <w:t xml:space="preserve"> Mopede şi motociclete </w:t>
            </w:r>
          </w:p>
        </w:tc>
        <w:tc>
          <w:tcPr>
            <w:tcW w:w="1417" w:type="dxa"/>
            <w:gridSpan w:val="3"/>
            <w:tcBorders>
              <w:top w:val="nil"/>
              <w:left w:val="nil"/>
              <w:bottom w:val="single" w:sz="4" w:space="0" w:color="auto"/>
              <w:right w:val="nil"/>
            </w:tcBorders>
            <w:shd w:val="clear" w:color="auto" w:fill="auto"/>
            <w:vAlign w:val="center"/>
            <w:hideMark/>
          </w:tcPr>
          <w:p w:rsidR="001024DC" w:rsidRPr="00D25F85" w:rsidRDefault="001024DC" w:rsidP="001024DC">
            <w:pPr>
              <w:spacing w:after="0" w:line="240" w:lineRule="auto"/>
              <w:jc w:val="right"/>
              <w:rPr>
                <w:rFonts w:asciiTheme="majorHAnsi" w:hAnsiTheme="majorHAnsi" w:cs="Calibri"/>
                <w:b/>
                <w:bCs/>
                <w:sz w:val="18"/>
                <w:szCs w:val="18"/>
              </w:rPr>
            </w:pPr>
            <w:r w:rsidRPr="00D25F85">
              <w:rPr>
                <w:rFonts w:asciiTheme="majorHAnsi" w:hAnsiTheme="majorHAnsi" w:cs="Calibri"/>
                <w:b/>
                <w:bCs/>
                <w:sz w:val="18"/>
                <w:szCs w:val="18"/>
              </w:rPr>
              <w:t xml:space="preserve"> Autoturisme</w:t>
            </w:r>
          </w:p>
        </w:tc>
        <w:tc>
          <w:tcPr>
            <w:tcW w:w="1276" w:type="dxa"/>
            <w:tcBorders>
              <w:top w:val="nil"/>
              <w:left w:val="nil"/>
              <w:bottom w:val="single" w:sz="4" w:space="0" w:color="auto"/>
              <w:right w:val="nil"/>
            </w:tcBorders>
            <w:shd w:val="clear" w:color="auto" w:fill="auto"/>
            <w:vAlign w:val="center"/>
            <w:hideMark/>
          </w:tcPr>
          <w:p w:rsidR="001024DC" w:rsidRPr="00D25F85" w:rsidRDefault="001024DC" w:rsidP="001024DC">
            <w:pPr>
              <w:spacing w:after="0" w:line="240" w:lineRule="auto"/>
              <w:jc w:val="right"/>
              <w:rPr>
                <w:rFonts w:asciiTheme="majorHAnsi" w:hAnsiTheme="majorHAnsi" w:cs="Calibri"/>
                <w:b/>
                <w:bCs/>
                <w:sz w:val="18"/>
                <w:szCs w:val="18"/>
              </w:rPr>
            </w:pPr>
            <w:r w:rsidRPr="00D25F85">
              <w:rPr>
                <w:rFonts w:asciiTheme="majorHAnsi" w:hAnsiTheme="majorHAnsi" w:cs="Calibri"/>
                <w:b/>
                <w:bCs/>
                <w:sz w:val="18"/>
                <w:szCs w:val="18"/>
              </w:rPr>
              <w:t xml:space="preserve"> Autobuze şi microbuze</w:t>
            </w:r>
          </w:p>
        </w:tc>
      </w:tr>
      <w:tr w:rsidR="00E84833" w:rsidRPr="00D25F85" w:rsidTr="0010465E">
        <w:trPr>
          <w:gridAfter w:val="1"/>
          <w:wAfter w:w="136" w:type="dxa"/>
          <w:trHeight w:val="300"/>
        </w:trPr>
        <w:tc>
          <w:tcPr>
            <w:tcW w:w="1149" w:type="dxa"/>
            <w:tcBorders>
              <w:top w:val="nil"/>
              <w:left w:val="nil"/>
              <w:bottom w:val="nil"/>
              <w:right w:val="nil"/>
            </w:tcBorders>
            <w:shd w:val="clear" w:color="auto" w:fill="auto"/>
            <w:noWrap/>
            <w:vAlign w:val="bottom"/>
            <w:hideMark/>
          </w:tcPr>
          <w:p w:rsidR="001024DC" w:rsidRPr="00D25F85" w:rsidRDefault="001024DC" w:rsidP="001024DC">
            <w:pPr>
              <w:spacing w:after="0" w:line="240" w:lineRule="auto"/>
              <w:rPr>
                <w:rFonts w:asciiTheme="majorHAnsi" w:hAnsiTheme="majorHAnsi" w:cs="Calibri"/>
                <w:sz w:val="18"/>
                <w:szCs w:val="18"/>
              </w:rPr>
            </w:pPr>
            <w:r w:rsidRPr="00D25F85">
              <w:rPr>
                <w:rFonts w:asciiTheme="majorHAnsi" w:hAnsiTheme="majorHAnsi" w:cs="Calibri"/>
                <w:sz w:val="18"/>
                <w:szCs w:val="18"/>
              </w:rPr>
              <w:t xml:space="preserve">SEM. I </w:t>
            </w:r>
            <w:r w:rsidR="00583A47" w:rsidRPr="00D25F85">
              <w:rPr>
                <w:rFonts w:asciiTheme="majorHAnsi" w:hAnsiTheme="majorHAnsi" w:cs="Calibri"/>
                <w:sz w:val="18"/>
                <w:szCs w:val="18"/>
              </w:rPr>
              <w:t>2023</w:t>
            </w:r>
          </w:p>
        </w:tc>
        <w:tc>
          <w:tcPr>
            <w:tcW w:w="1276" w:type="dxa"/>
            <w:gridSpan w:val="2"/>
            <w:tcBorders>
              <w:top w:val="nil"/>
              <w:left w:val="nil"/>
              <w:bottom w:val="nil"/>
              <w:right w:val="nil"/>
            </w:tcBorders>
            <w:shd w:val="clear" w:color="auto" w:fill="auto"/>
            <w:noWrap/>
            <w:vAlign w:val="bottom"/>
          </w:tcPr>
          <w:p w:rsidR="001024DC" w:rsidRPr="00D25F85" w:rsidRDefault="00765490" w:rsidP="001024DC">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125</w:t>
            </w:r>
          </w:p>
        </w:tc>
        <w:tc>
          <w:tcPr>
            <w:tcW w:w="1370" w:type="dxa"/>
            <w:gridSpan w:val="2"/>
            <w:tcBorders>
              <w:top w:val="nil"/>
              <w:left w:val="nil"/>
              <w:bottom w:val="nil"/>
              <w:right w:val="nil"/>
            </w:tcBorders>
            <w:shd w:val="clear" w:color="auto" w:fill="auto"/>
            <w:noWrap/>
            <w:vAlign w:val="bottom"/>
          </w:tcPr>
          <w:p w:rsidR="001024DC" w:rsidRPr="00D25F85" w:rsidRDefault="00765490" w:rsidP="001024DC">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1586</w:t>
            </w:r>
          </w:p>
        </w:tc>
        <w:tc>
          <w:tcPr>
            <w:tcW w:w="1182" w:type="dxa"/>
            <w:tcBorders>
              <w:top w:val="nil"/>
              <w:left w:val="nil"/>
              <w:bottom w:val="nil"/>
              <w:right w:val="single" w:sz="4" w:space="0" w:color="auto"/>
            </w:tcBorders>
            <w:shd w:val="clear" w:color="auto" w:fill="auto"/>
            <w:noWrap/>
            <w:vAlign w:val="bottom"/>
          </w:tcPr>
          <w:p w:rsidR="001024DC" w:rsidRPr="00D25F85" w:rsidRDefault="00765490" w:rsidP="001024DC">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42</w:t>
            </w:r>
          </w:p>
        </w:tc>
        <w:tc>
          <w:tcPr>
            <w:tcW w:w="1559" w:type="dxa"/>
            <w:gridSpan w:val="2"/>
            <w:tcBorders>
              <w:top w:val="nil"/>
              <w:left w:val="single" w:sz="4" w:space="0" w:color="auto"/>
              <w:bottom w:val="nil"/>
              <w:right w:val="nil"/>
            </w:tcBorders>
            <w:shd w:val="clear" w:color="auto" w:fill="auto"/>
            <w:noWrap/>
            <w:vAlign w:val="bottom"/>
          </w:tcPr>
          <w:p w:rsidR="001024DC" w:rsidRPr="00D25F85" w:rsidRDefault="00765490" w:rsidP="001024DC">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167</w:t>
            </w:r>
          </w:p>
        </w:tc>
        <w:tc>
          <w:tcPr>
            <w:tcW w:w="1417" w:type="dxa"/>
            <w:gridSpan w:val="3"/>
            <w:tcBorders>
              <w:top w:val="nil"/>
              <w:left w:val="nil"/>
              <w:bottom w:val="nil"/>
              <w:right w:val="nil"/>
            </w:tcBorders>
            <w:shd w:val="clear" w:color="auto" w:fill="auto"/>
            <w:noWrap/>
            <w:vAlign w:val="bottom"/>
          </w:tcPr>
          <w:p w:rsidR="001024DC" w:rsidRPr="00D25F85" w:rsidRDefault="00765490" w:rsidP="001024DC">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5134</w:t>
            </w:r>
          </w:p>
        </w:tc>
        <w:tc>
          <w:tcPr>
            <w:tcW w:w="1276" w:type="dxa"/>
            <w:tcBorders>
              <w:top w:val="nil"/>
              <w:left w:val="nil"/>
              <w:bottom w:val="nil"/>
              <w:right w:val="nil"/>
            </w:tcBorders>
            <w:shd w:val="clear" w:color="auto" w:fill="auto"/>
            <w:noWrap/>
            <w:vAlign w:val="bottom"/>
          </w:tcPr>
          <w:p w:rsidR="001024DC" w:rsidRPr="00D25F85" w:rsidRDefault="00765490" w:rsidP="001024DC">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43</w:t>
            </w:r>
          </w:p>
        </w:tc>
      </w:tr>
      <w:tr w:rsidR="00841528" w:rsidRPr="00D25F85" w:rsidTr="005A23AD">
        <w:trPr>
          <w:gridAfter w:val="1"/>
          <w:wAfter w:w="136" w:type="dxa"/>
          <w:trHeight w:val="300"/>
        </w:trPr>
        <w:tc>
          <w:tcPr>
            <w:tcW w:w="1149" w:type="dxa"/>
            <w:tcBorders>
              <w:top w:val="nil"/>
              <w:left w:val="nil"/>
              <w:bottom w:val="nil"/>
              <w:right w:val="nil"/>
            </w:tcBorders>
            <w:shd w:val="clear" w:color="auto" w:fill="auto"/>
            <w:noWrap/>
            <w:vAlign w:val="bottom"/>
            <w:hideMark/>
          </w:tcPr>
          <w:p w:rsidR="00841528" w:rsidRPr="00D25F85" w:rsidRDefault="00841528" w:rsidP="00841528">
            <w:pPr>
              <w:spacing w:after="0" w:line="240" w:lineRule="auto"/>
              <w:rPr>
                <w:rFonts w:asciiTheme="majorHAnsi" w:hAnsiTheme="majorHAnsi" w:cs="Calibri"/>
                <w:sz w:val="18"/>
                <w:szCs w:val="18"/>
              </w:rPr>
            </w:pPr>
            <w:r w:rsidRPr="00D25F85">
              <w:rPr>
                <w:rFonts w:asciiTheme="majorHAnsi" w:hAnsiTheme="majorHAnsi" w:cs="Calibri"/>
                <w:sz w:val="18"/>
                <w:szCs w:val="18"/>
              </w:rPr>
              <w:t>SEM. I 2022</w:t>
            </w:r>
          </w:p>
        </w:tc>
        <w:tc>
          <w:tcPr>
            <w:tcW w:w="1276" w:type="dxa"/>
            <w:gridSpan w:val="2"/>
            <w:tcBorders>
              <w:top w:val="nil"/>
              <w:left w:val="nil"/>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120</w:t>
            </w:r>
          </w:p>
        </w:tc>
        <w:tc>
          <w:tcPr>
            <w:tcW w:w="1370" w:type="dxa"/>
            <w:gridSpan w:val="2"/>
            <w:tcBorders>
              <w:top w:val="nil"/>
              <w:left w:val="nil"/>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1305</w:t>
            </w:r>
          </w:p>
        </w:tc>
        <w:tc>
          <w:tcPr>
            <w:tcW w:w="1182" w:type="dxa"/>
            <w:tcBorders>
              <w:top w:val="nil"/>
              <w:left w:val="nil"/>
              <w:bottom w:val="nil"/>
              <w:right w:val="single" w:sz="4" w:space="0" w:color="auto"/>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5</w:t>
            </w:r>
          </w:p>
        </w:tc>
        <w:tc>
          <w:tcPr>
            <w:tcW w:w="1559" w:type="dxa"/>
            <w:gridSpan w:val="2"/>
            <w:tcBorders>
              <w:top w:val="nil"/>
              <w:left w:val="single" w:sz="4" w:space="0" w:color="auto"/>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182</w:t>
            </w:r>
          </w:p>
        </w:tc>
        <w:tc>
          <w:tcPr>
            <w:tcW w:w="1417" w:type="dxa"/>
            <w:gridSpan w:val="3"/>
            <w:tcBorders>
              <w:top w:val="nil"/>
              <w:left w:val="nil"/>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5680</w:t>
            </w:r>
          </w:p>
        </w:tc>
        <w:tc>
          <w:tcPr>
            <w:tcW w:w="1276" w:type="dxa"/>
            <w:tcBorders>
              <w:top w:val="nil"/>
              <w:left w:val="nil"/>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23</w:t>
            </w:r>
          </w:p>
        </w:tc>
      </w:tr>
    </w:tbl>
    <w:p w:rsidR="001024DC" w:rsidRPr="00793447" w:rsidRDefault="001024DC" w:rsidP="00F9703A">
      <w:pPr>
        <w:jc w:val="center"/>
        <w:rPr>
          <w:rFonts w:asciiTheme="majorHAnsi" w:hAnsiTheme="majorHAnsi"/>
          <w:color w:val="FF0000"/>
          <w:sz w:val="24"/>
          <w:szCs w:val="24"/>
        </w:rPr>
      </w:pPr>
    </w:p>
    <w:p w:rsidR="00A24CB6" w:rsidRPr="00793447" w:rsidRDefault="00A24CB6" w:rsidP="00A24CB6">
      <w:pPr>
        <w:autoSpaceDE w:val="0"/>
        <w:autoSpaceDN w:val="0"/>
        <w:adjustRightInd w:val="0"/>
        <w:spacing w:after="0" w:line="240" w:lineRule="auto"/>
        <w:ind w:firstLine="720"/>
        <w:jc w:val="center"/>
        <w:rPr>
          <w:rFonts w:asciiTheme="majorHAnsi" w:eastAsia="Calibri" w:hAnsiTheme="majorHAnsi" w:cs="Arial"/>
          <w:b/>
          <w:color w:val="FF0000"/>
          <w:sz w:val="24"/>
          <w:szCs w:val="24"/>
        </w:rPr>
      </w:pPr>
    </w:p>
    <w:p w:rsidR="00A24CB6" w:rsidRPr="00793447" w:rsidRDefault="00A24CB6" w:rsidP="00A24CB6">
      <w:pPr>
        <w:autoSpaceDE w:val="0"/>
        <w:autoSpaceDN w:val="0"/>
        <w:adjustRightInd w:val="0"/>
        <w:spacing w:after="0" w:line="240" w:lineRule="auto"/>
        <w:ind w:firstLine="720"/>
        <w:jc w:val="center"/>
        <w:rPr>
          <w:rFonts w:asciiTheme="majorHAnsi" w:eastAsia="Calibri" w:hAnsiTheme="majorHAnsi" w:cs="Arial"/>
          <w:sz w:val="24"/>
          <w:szCs w:val="24"/>
        </w:rPr>
      </w:pPr>
      <w:r w:rsidRPr="00793447">
        <w:rPr>
          <w:rFonts w:asciiTheme="majorHAnsi" w:eastAsia="Calibri" w:hAnsiTheme="majorHAnsi" w:cs="Arial"/>
          <w:sz w:val="24"/>
          <w:szCs w:val="24"/>
        </w:rPr>
        <w:t xml:space="preserve">Înmatriculări noi de autoturisme în semestrul I </w:t>
      </w:r>
      <w:r w:rsidR="00583A47" w:rsidRPr="00793447">
        <w:rPr>
          <w:rFonts w:asciiTheme="majorHAnsi" w:eastAsia="Calibri" w:hAnsiTheme="majorHAnsi" w:cs="Arial"/>
          <w:sz w:val="24"/>
          <w:szCs w:val="24"/>
        </w:rPr>
        <w:t>2023</w:t>
      </w:r>
    </w:p>
    <w:p w:rsidR="007E4699" w:rsidRPr="00793447" w:rsidRDefault="007E4699" w:rsidP="00A24CB6">
      <w:pPr>
        <w:autoSpaceDE w:val="0"/>
        <w:autoSpaceDN w:val="0"/>
        <w:adjustRightInd w:val="0"/>
        <w:spacing w:after="0" w:line="240" w:lineRule="auto"/>
        <w:ind w:firstLine="720"/>
        <w:jc w:val="center"/>
        <w:rPr>
          <w:rFonts w:asciiTheme="majorHAnsi" w:eastAsia="Calibri" w:hAnsiTheme="majorHAnsi" w:cs="Arial"/>
          <w:color w:val="FF0000"/>
          <w:sz w:val="24"/>
          <w:szCs w:val="24"/>
        </w:rPr>
      </w:pPr>
    </w:p>
    <w:p w:rsidR="00A24CB6" w:rsidRPr="00793447" w:rsidRDefault="0038173B" w:rsidP="00A24CB6">
      <w:pPr>
        <w:autoSpaceDE w:val="0"/>
        <w:autoSpaceDN w:val="0"/>
        <w:adjustRightInd w:val="0"/>
        <w:spacing w:after="0" w:line="240" w:lineRule="auto"/>
        <w:ind w:firstLine="720"/>
        <w:jc w:val="center"/>
        <w:rPr>
          <w:rFonts w:asciiTheme="majorHAnsi" w:eastAsia="Calibri" w:hAnsiTheme="majorHAnsi" w:cs="Arial"/>
          <w:b/>
          <w:color w:val="FF0000"/>
          <w:sz w:val="24"/>
          <w:szCs w:val="24"/>
        </w:rPr>
      </w:pPr>
      <w:r w:rsidRPr="00793447">
        <w:rPr>
          <w:rFonts w:asciiTheme="majorHAnsi" w:eastAsia="Calibri" w:hAnsiTheme="majorHAnsi" w:cs="Arial"/>
          <w:b/>
          <w:noProof/>
          <w:color w:val="FF0000"/>
          <w:sz w:val="24"/>
          <w:szCs w:val="24"/>
        </w:rPr>
        <w:drawing>
          <wp:inline distT="0" distB="0" distL="0" distR="0">
            <wp:extent cx="3871843" cy="1979875"/>
            <wp:effectExtent l="0" t="0" r="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24CB6" w:rsidRPr="00793447" w:rsidRDefault="00A24CB6" w:rsidP="00A24CB6">
      <w:pPr>
        <w:autoSpaceDE w:val="0"/>
        <w:autoSpaceDN w:val="0"/>
        <w:adjustRightInd w:val="0"/>
        <w:spacing w:after="0" w:line="240" w:lineRule="auto"/>
        <w:ind w:firstLine="720"/>
        <w:jc w:val="center"/>
        <w:rPr>
          <w:rFonts w:asciiTheme="majorHAnsi" w:eastAsia="Calibri" w:hAnsiTheme="majorHAnsi" w:cs="Arial"/>
          <w:color w:val="FF0000"/>
          <w:sz w:val="24"/>
          <w:szCs w:val="24"/>
        </w:rPr>
      </w:pPr>
    </w:p>
    <w:p w:rsidR="006904EC" w:rsidRPr="00793447" w:rsidRDefault="006904EC" w:rsidP="00144733">
      <w:pPr>
        <w:autoSpaceDE w:val="0"/>
        <w:autoSpaceDN w:val="0"/>
        <w:adjustRightInd w:val="0"/>
        <w:spacing w:after="0" w:line="240" w:lineRule="auto"/>
        <w:ind w:firstLine="720"/>
        <w:jc w:val="both"/>
        <w:rPr>
          <w:rFonts w:asciiTheme="majorHAnsi" w:eastAsia="Calibri" w:hAnsiTheme="majorHAnsi" w:cs="Arial"/>
          <w:color w:val="FF0000"/>
          <w:sz w:val="24"/>
          <w:szCs w:val="24"/>
        </w:rPr>
      </w:pPr>
    </w:p>
    <w:p w:rsidR="00144733" w:rsidRPr="00793447" w:rsidRDefault="00144733" w:rsidP="006904EC">
      <w:pPr>
        <w:autoSpaceDE w:val="0"/>
        <w:autoSpaceDN w:val="0"/>
        <w:adjustRightInd w:val="0"/>
        <w:spacing w:after="0" w:line="240" w:lineRule="auto"/>
        <w:ind w:firstLine="720"/>
        <w:jc w:val="both"/>
        <w:rPr>
          <w:rFonts w:asciiTheme="majorHAnsi" w:eastAsia="Calibri" w:hAnsiTheme="majorHAnsi" w:cs="Arial"/>
          <w:sz w:val="24"/>
          <w:szCs w:val="24"/>
        </w:rPr>
      </w:pPr>
      <w:r w:rsidRPr="00793447">
        <w:rPr>
          <w:rFonts w:asciiTheme="majorHAnsi" w:eastAsia="Calibri" w:hAnsiTheme="majorHAnsi" w:cs="Arial"/>
          <w:sz w:val="24"/>
          <w:szCs w:val="24"/>
        </w:rPr>
        <w:t xml:space="preserve">Numărul total de înmatriculări noi de vehicule rutiere pentru transportul mărfurilor a fost de </w:t>
      </w:r>
      <w:r w:rsidR="00E16F5A" w:rsidRPr="00793447">
        <w:rPr>
          <w:rFonts w:asciiTheme="majorHAnsi" w:eastAsia="Calibri" w:hAnsiTheme="majorHAnsi" w:cs="Arial"/>
          <w:sz w:val="24"/>
          <w:szCs w:val="24"/>
        </w:rPr>
        <w:t>1264</w:t>
      </w:r>
      <w:r w:rsidRPr="00793447">
        <w:rPr>
          <w:rFonts w:asciiTheme="majorHAnsi" w:eastAsia="Calibri" w:hAnsiTheme="majorHAnsi" w:cs="Arial"/>
          <w:sz w:val="24"/>
          <w:szCs w:val="24"/>
        </w:rPr>
        <w:t xml:space="preserve"> în semestrul I </w:t>
      </w:r>
      <w:r w:rsidR="00583A47" w:rsidRPr="00793447">
        <w:rPr>
          <w:rFonts w:asciiTheme="majorHAnsi" w:eastAsia="Calibri" w:hAnsiTheme="majorHAnsi" w:cs="Arial"/>
          <w:sz w:val="24"/>
          <w:szCs w:val="24"/>
        </w:rPr>
        <w:t>2023</w:t>
      </w:r>
      <w:r w:rsidRPr="00793447">
        <w:rPr>
          <w:rFonts w:asciiTheme="majorHAnsi" w:eastAsia="Calibri" w:hAnsiTheme="majorHAnsi" w:cs="Arial"/>
          <w:sz w:val="24"/>
          <w:szCs w:val="24"/>
        </w:rPr>
        <w:t xml:space="preserve">, în </w:t>
      </w:r>
      <w:r w:rsidR="00E16F5A" w:rsidRPr="00793447">
        <w:rPr>
          <w:rFonts w:asciiTheme="majorHAnsi" w:eastAsia="Calibri" w:hAnsiTheme="majorHAnsi" w:cs="Arial"/>
          <w:sz w:val="24"/>
          <w:szCs w:val="24"/>
        </w:rPr>
        <w:t>s</w:t>
      </w:r>
      <w:r w:rsidR="004909FC" w:rsidRPr="00793447">
        <w:rPr>
          <w:rFonts w:asciiTheme="majorHAnsi" w:eastAsia="Calibri" w:hAnsiTheme="majorHAnsi" w:cs="Arial"/>
          <w:sz w:val="24"/>
          <w:szCs w:val="24"/>
        </w:rPr>
        <w:t>c</w:t>
      </w:r>
      <w:r w:rsidR="00E16F5A" w:rsidRPr="00793447">
        <w:rPr>
          <w:rFonts w:asciiTheme="majorHAnsi" w:eastAsia="Calibri" w:hAnsiTheme="majorHAnsi" w:cs="Arial"/>
          <w:sz w:val="24"/>
          <w:szCs w:val="24"/>
        </w:rPr>
        <w:t>ădere</w:t>
      </w:r>
      <w:r w:rsidRPr="00793447">
        <w:rPr>
          <w:rFonts w:asciiTheme="majorHAnsi" w:eastAsia="Calibri" w:hAnsiTheme="majorHAnsi" w:cs="Arial"/>
          <w:sz w:val="24"/>
          <w:szCs w:val="24"/>
        </w:rPr>
        <w:t xml:space="preserve"> cu </w:t>
      </w:r>
      <w:r w:rsidR="00E16F5A" w:rsidRPr="00793447">
        <w:rPr>
          <w:rFonts w:asciiTheme="majorHAnsi" w:eastAsia="Calibri" w:hAnsiTheme="majorHAnsi" w:cs="Arial"/>
          <w:sz w:val="24"/>
          <w:szCs w:val="24"/>
        </w:rPr>
        <w:t>13,4</w:t>
      </w:r>
      <w:r w:rsidRPr="00793447">
        <w:rPr>
          <w:rFonts w:asciiTheme="majorHAnsi" w:eastAsia="Calibri" w:hAnsiTheme="majorHAnsi" w:cs="Arial"/>
          <w:sz w:val="24"/>
          <w:szCs w:val="24"/>
        </w:rPr>
        <w:t xml:space="preserve">% faṭă de semestrul I </w:t>
      </w:r>
      <w:r w:rsidR="00583A47" w:rsidRPr="00793447">
        <w:rPr>
          <w:rFonts w:asciiTheme="majorHAnsi" w:eastAsia="Calibri" w:hAnsiTheme="majorHAnsi" w:cs="Arial"/>
          <w:sz w:val="24"/>
          <w:szCs w:val="24"/>
        </w:rPr>
        <w:t>2022</w:t>
      </w:r>
      <w:r w:rsidRPr="00793447">
        <w:rPr>
          <w:rFonts w:asciiTheme="majorHAnsi" w:eastAsia="Calibri" w:hAnsiTheme="majorHAnsi" w:cs="Arial"/>
          <w:sz w:val="24"/>
          <w:szCs w:val="24"/>
        </w:rPr>
        <w:t xml:space="preserve">. </w:t>
      </w:r>
    </w:p>
    <w:p w:rsidR="00144733" w:rsidRPr="00793447" w:rsidRDefault="00144733" w:rsidP="006904EC">
      <w:pPr>
        <w:autoSpaceDE w:val="0"/>
        <w:autoSpaceDN w:val="0"/>
        <w:adjustRightInd w:val="0"/>
        <w:spacing w:after="0" w:line="240" w:lineRule="auto"/>
        <w:ind w:firstLine="720"/>
        <w:jc w:val="both"/>
        <w:rPr>
          <w:rFonts w:asciiTheme="majorHAnsi" w:eastAsia="Calibri" w:hAnsiTheme="majorHAnsi" w:cs="Arial"/>
          <w:sz w:val="24"/>
          <w:szCs w:val="24"/>
        </w:rPr>
      </w:pPr>
      <w:r w:rsidRPr="00793447">
        <w:rPr>
          <w:rFonts w:asciiTheme="majorHAnsi" w:eastAsia="Calibri" w:hAnsiTheme="majorHAnsi" w:cs="Arial"/>
          <w:sz w:val="24"/>
          <w:szCs w:val="24"/>
        </w:rPr>
        <w:t xml:space="preserve">Au fost înregistrate </w:t>
      </w:r>
      <w:r w:rsidR="006904EC" w:rsidRPr="00793447">
        <w:rPr>
          <w:rFonts w:asciiTheme="majorHAnsi" w:eastAsia="Calibri" w:hAnsiTheme="majorHAnsi" w:cs="Arial"/>
          <w:sz w:val="24"/>
          <w:szCs w:val="24"/>
        </w:rPr>
        <w:t>scăderi</w:t>
      </w:r>
      <w:r w:rsidRPr="00793447">
        <w:rPr>
          <w:rFonts w:asciiTheme="majorHAnsi" w:eastAsia="Calibri" w:hAnsiTheme="majorHAnsi" w:cs="Arial"/>
          <w:sz w:val="24"/>
          <w:szCs w:val="24"/>
        </w:rPr>
        <w:t xml:space="preserve"> </w:t>
      </w:r>
      <w:r w:rsidR="006904EC" w:rsidRPr="00793447">
        <w:rPr>
          <w:rFonts w:asciiTheme="majorHAnsi" w:eastAsia="Calibri" w:hAnsiTheme="majorHAnsi" w:cs="Arial"/>
          <w:sz w:val="24"/>
          <w:szCs w:val="24"/>
        </w:rPr>
        <w:t xml:space="preserve">la "autocamioane (inclusiv vehicule rutiere pentru scopuri speciale)” cu </w:t>
      </w:r>
      <w:r w:rsidR="00E16F5A" w:rsidRPr="00793447">
        <w:rPr>
          <w:rFonts w:asciiTheme="majorHAnsi" w:eastAsia="Calibri" w:hAnsiTheme="majorHAnsi" w:cs="Arial"/>
          <w:sz w:val="24"/>
          <w:szCs w:val="24"/>
        </w:rPr>
        <w:t>28,4</w:t>
      </w:r>
      <w:r w:rsidR="006904EC" w:rsidRPr="00793447">
        <w:rPr>
          <w:rFonts w:asciiTheme="majorHAnsi" w:eastAsia="Calibri" w:hAnsiTheme="majorHAnsi" w:cs="Arial"/>
          <w:sz w:val="24"/>
          <w:szCs w:val="24"/>
        </w:rPr>
        <w:t xml:space="preserve">%, </w:t>
      </w:r>
      <w:r w:rsidRPr="00793447">
        <w:rPr>
          <w:rFonts w:asciiTheme="majorHAnsi" w:eastAsia="Calibri" w:hAnsiTheme="majorHAnsi" w:cs="Arial"/>
          <w:sz w:val="24"/>
          <w:szCs w:val="24"/>
        </w:rPr>
        <w:t xml:space="preserve">la "autotractoare” cu </w:t>
      </w:r>
      <w:r w:rsidR="00E16F5A" w:rsidRPr="00793447">
        <w:rPr>
          <w:rFonts w:asciiTheme="majorHAnsi" w:eastAsia="Calibri" w:hAnsiTheme="majorHAnsi" w:cs="Arial"/>
          <w:sz w:val="24"/>
          <w:szCs w:val="24"/>
        </w:rPr>
        <w:t>6,3</w:t>
      </w:r>
      <w:r w:rsidRPr="00793447">
        <w:rPr>
          <w:rFonts w:asciiTheme="majorHAnsi" w:eastAsia="Calibri" w:hAnsiTheme="majorHAnsi" w:cs="Arial"/>
          <w:sz w:val="24"/>
          <w:szCs w:val="24"/>
        </w:rPr>
        <w:t>%</w:t>
      </w:r>
      <w:r w:rsidR="000C7AD0" w:rsidRPr="00793447">
        <w:rPr>
          <w:rFonts w:asciiTheme="majorHAnsi" w:eastAsia="Calibri" w:hAnsiTheme="majorHAnsi" w:cs="Arial"/>
          <w:sz w:val="24"/>
          <w:szCs w:val="24"/>
        </w:rPr>
        <w:t>,</w:t>
      </w:r>
      <w:r w:rsidRPr="00793447">
        <w:rPr>
          <w:rFonts w:asciiTheme="majorHAnsi" w:eastAsia="Calibri" w:hAnsiTheme="majorHAnsi" w:cs="Arial"/>
          <w:sz w:val="24"/>
          <w:szCs w:val="24"/>
        </w:rPr>
        <w:t xml:space="preserve"> </w:t>
      </w:r>
      <w:r w:rsidR="000C7AD0" w:rsidRPr="00793447">
        <w:rPr>
          <w:rFonts w:asciiTheme="majorHAnsi" w:eastAsia="Calibri" w:hAnsiTheme="majorHAnsi" w:cs="Arial"/>
          <w:sz w:val="24"/>
          <w:szCs w:val="24"/>
        </w:rPr>
        <w:t xml:space="preserve">și </w:t>
      </w:r>
      <w:r w:rsidR="006904EC" w:rsidRPr="00793447">
        <w:rPr>
          <w:rFonts w:asciiTheme="majorHAnsi" w:eastAsia="Calibri" w:hAnsiTheme="majorHAnsi" w:cs="Arial"/>
          <w:sz w:val="24"/>
          <w:szCs w:val="24"/>
        </w:rPr>
        <w:t xml:space="preserve">creșteri </w:t>
      </w:r>
      <w:r w:rsidR="000C7AD0" w:rsidRPr="00793447">
        <w:rPr>
          <w:rFonts w:asciiTheme="majorHAnsi" w:eastAsia="Calibri" w:hAnsiTheme="majorHAnsi" w:cs="Arial"/>
          <w:sz w:val="24"/>
          <w:szCs w:val="24"/>
        </w:rPr>
        <w:t xml:space="preserve">la "remorci </w:t>
      </w:r>
      <w:r w:rsidR="00983121" w:rsidRPr="00793447">
        <w:rPr>
          <w:rFonts w:asciiTheme="majorHAnsi" w:eastAsia="Calibri" w:hAnsiTheme="majorHAnsi" w:cs="Arial"/>
          <w:sz w:val="24"/>
          <w:szCs w:val="24"/>
        </w:rPr>
        <w:t>ș</w:t>
      </w:r>
      <w:r w:rsidR="000C7AD0" w:rsidRPr="00793447">
        <w:rPr>
          <w:rFonts w:asciiTheme="majorHAnsi" w:eastAsia="Calibri" w:hAnsiTheme="majorHAnsi" w:cs="Arial"/>
          <w:sz w:val="24"/>
          <w:szCs w:val="24"/>
        </w:rPr>
        <w:t xml:space="preserve">i semiremorci" cu </w:t>
      </w:r>
      <w:r w:rsidR="00E16F5A" w:rsidRPr="00793447">
        <w:rPr>
          <w:rFonts w:asciiTheme="majorHAnsi" w:eastAsia="Calibri" w:hAnsiTheme="majorHAnsi" w:cs="Arial"/>
          <w:sz w:val="24"/>
          <w:szCs w:val="24"/>
        </w:rPr>
        <w:t>1</w:t>
      </w:r>
      <w:r w:rsidR="006904EC" w:rsidRPr="00793447">
        <w:rPr>
          <w:rFonts w:asciiTheme="majorHAnsi" w:eastAsia="Calibri" w:hAnsiTheme="majorHAnsi" w:cs="Arial"/>
          <w:sz w:val="24"/>
          <w:szCs w:val="24"/>
        </w:rPr>
        <w:t>,2</w:t>
      </w:r>
      <w:r w:rsidR="000C7AD0" w:rsidRPr="00793447">
        <w:rPr>
          <w:rFonts w:asciiTheme="majorHAnsi" w:eastAsia="Calibri" w:hAnsiTheme="majorHAnsi" w:cs="Arial"/>
          <w:sz w:val="24"/>
          <w:szCs w:val="24"/>
        </w:rPr>
        <w:t xml:space="preserve">% </w:t>
      </w:r>
      <w:r w:rsidRPr="00793447">
        <w:rPr>
          <w:rFonts w:asciiTheme="majorHAnsi" w:eastAsia="Calibri" w:hAnsiTheme="majorHAnsi" w:cs="Arial"/>
          <w:sz w:val="24"/>
          <w:szCs w:val="24"/>
        </w:rPr>
        <w:t xml:space="preserve">. </w:t>
      </w:r>
    </w:p>
    <w:p w:rsidR="00144733" w:rsidRPr="00793447" w:rsidRDefault="00144733" w:rsidP="006904EC">
      <w:pPr>
        <w:autoSpaceDE w:val="0"/>
        <w:autoSpaceDN w:val="0"/>
        <w:adjustRightInd w:val="0"/>
        <w:spacing w:after="0" w:line="240" w:lineRule="auto"/>
        <w:ind w:firstLine="720"/>
        <w:jc w:val="both"/>
        <w:rPr>
          <w:rFonts w:asciiTheme="majorHAnsi" w:eastAsia="Calibri" w:hAnsiTheme="majorHAnsi" w:cs="Arial"/>
          <w:sz w:val="24"/>
          <w:szCs w:val="24"/>
        </w:rPr>
      </w:pPr>
      <w:r w:rsidRPr="00793447">
        <w:rPr>
          <w:rFonts w:asciiTheme="majorHAnsi" w:eastAsia="Calibri" w:hAnsiTheme="majorHAnsi" w:cs="Arial"/>
          <w:sz w:val="24"/>
          <w:szCs w:val="24"/>
        </w:rPr>
        <w:t xml:space="preserve">În total înmatriculări noi de vehicule rutiere pentru transportul mărfurilor, </w:t>
      </w:r>
      <w:r w:rsidR="00E37449" w:rsidRPr="00793447">
        <w:rPr>
          <w:rFonts w:asciiTheme="majorHAnsi" w:eastAsia="Calibri" w:hAnsiTheme="majorHAnsi" w:cs="Arial"/>
          <w:sz w:val="24"/>
          <w:szCs w:val="24"/>
        </w:rPr>
        <w:t>37,9</w:t>
      </w:r>
      <w:r w:rsidRPr="00793447">
        <w:rPr>
          <w:rFonts w:asciiTheme="majorHAnsi" w:eastAsia="Calibri" w:hAnsiTheme="majorHAnsi" w:cs="Arial"/>
          <w:sz w:val="24"/>
          <w:szCs w:val="24"/>
        </w:rPr>
        <w:t xml:space="preserve">% au fost "autocamioane”. </w:t>
      </w:r>
    </w:p>
    <w:p w:rsidR="00144733" w:rsidRPr="00793447" w:rsidRDefault="00144733" w:rsidP="006904EC">
      <w:pPr>
        <w:spacing w:after="0" w:line="240" w:lineRule="auto"/>
        <w:ind w:firstLine="720"/>
        <w:jc w:val="both"/>
        <w:rPr>
          <w:rFonts w:asciiTheme="majorHAnsi" w:hAnsiTheme="majorHAnsi"/>
          <w:sz w:val="24"/>
          <w:szCs w:val="24"/>
        </w:rPr>
      </w:pPr>
      <w:r w:rsidRPr="00793447">
        <w:rPr>
          <w:rFonts w:asciiTheme="majorHAnsi" w:eastAsia="Calibri" w:hAnsiTheme="majorHAnsi" w:cs="Arial"/>
          <w:sz w:val="24"/>
          <w:szCs w:val="24"/>
        </w:rPr>
        <w:t xml:space="preserve">Ponderea vehiculelor noi în total înmatriculări noi de vehicule pentru transportul mărfurilor a fost de </w:t>
      </w:r>
      <w:r w:rsidR="00F224E5" w:rsidRPr="00793447">
        <w:rPr>
          <w:rFonts w:asciiTheme="majorHAnsi" w:eastAsia="Calibri" w:hAnsiTheme="majorHAnsi" w:cs="Arial"/>
          <w:sz w:val="24"/>
          <w:szCs w:val="24"/>
        </w:rPr>
        <w:t>41,9</w:t>
      </w:r>
      <w:r w:rsidRPr="00793447">
        <w:rPr>
          <w:rFonts w:asciiTheme="majorHAnsi" w:eastAsia="Calibri" w:hAnsiTheme="majorHAnsi" w:cs="Arial"/>
          <w:sz w:val="24"/>
          <w:szCs w:val="24"/>
        </w:rPr>
        <w:t xml:space="preserve">%, în creṣtere faṭă de aceeaṣi perioadă a anului precedent, când ponderea a fost de </w:t>
      </w:r>
      <w:r w:rsidR="00F224E5" w:rsidRPr="00793447">
        <w:rPr>
          <w:rFonts w:asciiTheme="majorHAnsi" w:eastAsia="Calibri" w:hAnsiTheme="majorHAnsi" w:cs="Arial"/>
          <w:sz w:val="24"/>
          <w:szCs w:val="24"/>
        </w:rPr>
        <w:t>35,9</w:t>
      </w:r>
      <w:r w:rsidRPr="00793447">
        <w:rPr>
          <w:rFonts w:asciiTheme="majorHAnsi" w:eastAsia="Calibri" w:hAnsiTheme="majorHAnsi" w:cs="Arial"/>
          <w:sz w:val="24"/>
          <w:szCs w:val="24"/>
        </w:rPr>
        <w:t>%.</w:t>
      </w:r>
    </w:p>
    <w:p w:rsidR="00910FB0" w:rsidRPr="00793447" w:rsidRDefault="00910FB0" w:rsidP="002D422C">
      <w:pPr>
        <w:rPr>
          <w:rFonts w:asciiTheme="majorHAnsi" w:hAnsiTheme="majorHAnsi"/>
          <w:color w:val="FF0000"/>
          <w:sz w:val="24"/>
          <w:szCs w:val="24"/>
        </w:rPr>
      </w:pPr>
    </w:p>
    <w:p w:rsidR="002D422C" w:rsidRPr="00793447" w:rsidRDefault="008A543F" w:rsidP="00A24CB6">
      <w:pPr>
        <w:jc w:val="center"/>
        <w:rPr>
          <w:rFonts w:asciiTheme="majorHAnsi" w:hAnsiTheme="majorHAnsi"/>
          <w:sz w:val="24"/>
          <w:szCs w:val="24"/>
        </w:rPr>
      </w:pPr>
      <w:r w:rsidRPr="00793447">
        <w:rPr>
          <w:rFonts w:asciiTheme="majorHAnsi" w:hAnsiTheme="majorHAnsi"/>
          <w:sz w:val="24"/>
          <w:szCs w:val="24"/>
        </w:rPr>
        <w:t xml:space="preserve">Înmatriculări noi de vehicule rutiere pentru transportul mărfurilor </w:t>
      </w:r>
    </w:p>
    <w:tbl>
      <w:tblPr>
        <w:tblW w:w="9654" w:type="dxa"/>
        <w:tblInd w:w="93" w:type="dxa"/>
        <w:tblLayout w:type="fixed"/>
        <w:tblLook w:val="04A0" w:firstRow="1" w:lastRow="0" w:firstColumn="1" w:lastColumn="0" w:noHBand="0" w:noVBand="1"/>
      </w:tblPr>
      <w:tblGrid>
        <w:gridCol w:w="1149"/>
        <w:gridCol w:w="443"/>
        <w:gridCol w:w="1068"/>
        <w:gridCol w:w="49"/>
        <w:gridCol w:w="1086"/>
        <w:gridCol w:w="189"/>
        <w:gridCol w:w="1276"/>
        <w:gridCol w:w="398"/>
        <w:gridCol w:w="1068"/>
        <w:gridCol w:w="93"/>
        <w:gridCol w:w="1042"/>
        <w:gridCol w:w="376"/>
        <w:gridCol w:w="1128"/>
        <w:gridCol w:w="289"/>
      </w:tblGrid>
      <w:tr w:rsidR="00E84833" w:rsidRPr="00793447" w:rsidTr="003B2874">
        <w:trPr>
          <w:gridAfter w:val="1"/>
          <w:wAfter w:w="289" w:type="dxa"/>
          <w:trHeight w:val="300"/>
        </w:trPr>
        <w:tc>
          <w:tcPr>
            <w:tcW w:w="1592" w:type="dxa"/>
            <w:gridSpan w:val="2"/>
            <w:tcBorders>
              <w:top w:val="nil"/>
              <w:left w:val="nil"/>
              <w:bottom w:val="nil"/>
              <w:right w:val="nil"/>
            </w:tcBorders>
            <w:shd w:val="clear" w:color="auto" w:fill="auto"/>
            <w:noWrap/>
            <w:vAlign w:val="bottom"/>
            <w:hideMark/>
          </w:tcPr>
          <w:p w:rsidR="00C37353" w:rsidRPr="00793447" w:rsidRDefault="00C37353" w:rsidP="001B7038">
            <w:pPr>
              <w:spacing w:after="0" w:line="240" w:lineRule="auto"/>
              <w:rPr>
                <w:rFonts w:asciiTheme="majorHAnsi" w:hAnsiTheme="majorHAnsi" w:cs="Calibri"/>
                <w:sz w:val="24"/>
                <w:szCs w:val="24"/>
              </w:rPr>
            </w:pPr>
          </w:p>
        </w:tc>
        <w:tc>
          <w:tcPr>
            <w:tcW w:w="1068" w:type="dxa"/>
            <w:tcBorders>
              <w:top w:val="nil"/>
              <w:left w:val="nil"/>
              <w:bottom w:val="nil"/>
              <w:right w:val="nil"/>
            </w:tcBorders>
            <w:shd w:val="clear" w:color="auto" w:fill="auto"/>
            <w:noWrap/>
            <w:vAlign w:val="bottom"/>
            <w:hideMark/>
          </w:tcPr>
          <w:p w:rsidR="00C37353" w:rsidRPr="00793447" w:rsidRDefault="00C37353" w:rsidP="001B7038">
            <w:pPr>
              <w:spacing w:after="0" w:line="240" w:lineRule="auto"/>
              <w:rPr>
                <w:rFonts w:asciiTheme="majorHAnsi" w:hAnsiTheme="majorHAnsi" w:cs="Calibri"/>
                <w:sz w:val="24"/>
                <w:szCs w:val="24"/>
              </w:rPr>
            </w:pPr>
          </w:p>
        </w:tc>
        <w:tc>
          <w:tcPr>
            <w:tcW w:w="1135" w:type="dxa"/>
            <w:gridSpan w:val="2"/>
            <w:tcBorders>
              <w:top w:val="nil"/>
              <w:left w:val="nil"/>
              <w:bottom w:val="nil"/>
              <w:right w:val="nil"/>
            </w:tcBorders>
            <w:shd w:val="clear" w:color="auto" w:fill="auto"/>
            <w:noWrap/>
            <w:vAlign w:val="bottom"/>
            <w:hideMark/>
          </w:tcPr>
          <w:p w:rsidR="00C37353" w:rsidRPr="00793447" w:rsidRDefault="00C37353" w:rsidP="001B7038">
            <w:pPr>
              <w:spacing w:after="0" w:line="240" w:lineRule="auto"/>
              <w:rPr>
                <w:rFonts w:asciiTheme="majorHAnsi" w:hAnsiTheme="majorHAnsi" w:cs="Calibri"/>
                <w:sz w:val="24"/>
                <w:szCs w:val="24"/>
              </w:rPr>
            </w:pPr>
          </w:p>
        </w:tc>
        <w:tc>
          <w:tcPr>
            <w:tcW w:w="1465" w:type="dxa"/>
            <w:gridSpan w:val="2"/>
            <w:tcBorders>
              <w:top w:val="nil"/>
              <w:left w:val="nil"/>
              <w:bottom w:val="nil"/>
              <w:right w:val="nil"/>
            </w:tcBorders>
            <w:shd w:val="clear" w:color="auto" w:fill="auto"/>
            <w:noWrap/>
            <w:vAlign w:val="bottom"/>
            <w:hideMark/>
          </w:tcPr>
          <w:p w:rsidR="00C37353" w:rsidRPr="00793447" w:rsidRDefault="00C37353" w:rsidP="001B7038">
            <w:pPr>
              <w:spacing w:after="0" w:line="240" w:lineRule="auto"/>
              <w:rPr>
                <w:rFonts w:asciiTheme="majorHAnsi" w:hAnsiTheme="majorHAnsi" w:cs="Calibri"/>
                <w:sz w:val="24"/>
                <w:szCs w:val="24"/>
              </w:rPr>
            </w:pPr>
          </w:p>
        </w:tc>
        <w:tc>
          <w:tcPr>
            <w:tcW w:w="398" w:type="dxa"/>
            <w:tcBorders>
              <w:top w:val="nil"/>
              <w:left w:val="nil"/>
              <w:bottom w:val="nil"/>
              <w:right w:val="nil"/>
            </w:tcBorders>
            <w:shd w:val="clear" w:color="auto" w:fill="auto"/>
            <w:noWrap/>
            <w:vAlign w:val="bottom"/>
            <w:hideMark/>
          </w:tcPr>
          <w:p w:rsidR="00C37353" w:rsidRPr="00793447" w:rsidRDefault="00C37353" w:rsidP="001B7038">
            <w:pPr>
              <w:spacing w:after="0" w:line="240" w:lineRule="auto"/>
              <w:rPr>
                <w:rFonts w:asciiTheme="majorHAnsi" w:hAnsiTheme="majorHAnsi" w:cs="Calibri"/>
                <w:sz w:val="24"/>
                <w:szCs w:val="24"/>
              </w:rPr>
            </w:pPr>
          </w:p>
        </w:tc>
        <w:tc>
          <w:tcPr>
            <w:tcW w:w="1068" w:type="dxa"/>
            <w:tcBorders>
              <w:top w:val="nil"/>
              <w:left w:val="nil"/>
              <w:bottom w:val="nil"/>
              <w:right w:val="nil"/>
            </w:tcBorders>
            <w:shd w:val="clear" w:color="auto" w:fill="auto"/>
            <w:noWrap/>
            <w:vAlign w:val="bottom"/>
            <w:hideMark/>
          </w:tcPr>
          <w:p w:rsidR="00C37353" w:rsidRPr="00793447" w:rsidRDefault="00C37353" w:rsidP="001B7038">
            <w:pPr>
              <w:spacing w:after="0" w:line="240" w:lineRule="auto"/>
              <w:rPr>
                <w:rFonts w:asciiTheme="majorHAnsi" w:hAnsiTheme="majorHAnsi" w:cs="Calibri"/>
                <w:sz w:val="24"/>
                <w:szCs w:val="24"/>
              </w:rPr>
            </w:pPr>
          </w:p>
        </w:tc>
        <w:tc>
          <w:tcPr>
            <w:tcW w:w="1135" w:type="dxa"/>
            <w:gridSpan w:val="2"/>
            <w:tcBorders>
              <w:top w:val="nil"/>
              <w:left w:val="nil"/>
              <w:bottom w:val="nil"/>
              <w:right w:val="nil"/>
            </w:tcBorders>
            <w:shd w:val="clear" w:color="auto" w:fill="auto"/>
            <w:noWrap/>
            <w:vAlign w:val="bottom"/>
            <w:hideMark/>
          </w:tcPr>
          <w:p w:rsidR="00C37353" w:rsidRPr="00793447" w:rsidRDefault="00C37353" w:rsidP="001B7038">
            <w:pPr>
              <w:spacing w:after="0" w:line="240" w:lineRule="auto"/>
              <w:rPr>
                <w:rFonts w:asciiTheme="majorHAnsi" w:hAnsiTheme="majorHAnsi" w:cs="Calibri"/>
                <w:sz w:val="24"/>
                <w:szCs w:val="24"/>
              </w:rPr>
            </w:pPr>
          </w:p>
        </w:tc>
        <w:tc>
          <w:tcPr>
            <w:tcW w:w="1504" w:type="dxa"/>
            <w:gridSpan w:val="2"/>
            <w:tcBorders>
              <w:top w:val="nil"/>
              <w:left w:val="nil"/>
              <w:bottom w:val="nil"/>
              <w:right w:val="nil"/>
            </w:tcBorders>
            <w:shd w:val="clear" w:color="auto" w:fill="auto"/>
            <w:noWrap/>
            <w:vAlign w:val="center"/>
            <w:hideMark/>
          </w:tcPr>
          <w:p w:rsidR="00C37353" w:rsidRPr="00793447" w:rsidRDefault="00C37353" w:rsidP="001B7038">
            <w:pPr>
              <w:spacing w:after="0" w:line="240" w:lineRule="auto"/>
              <w:jc w:val="right"/>
              <w:rPr>
                <w:rFonts w:asciiTheme="majorHAnsi" w:hAnsiTheme="majorHAnsi" w:cs="Calibri"/>
                <w:sz w:val="24"/>
                <w:szCs w:val="24"/>
              </w:rPr>
            </w:pPr>
            <w:r w:rsidRPr="00793447">
              <w:rPr>
                <w:rFonts w:asciiTheme="majorHAnsi" w:hAnsiTheme="majorHAnsi" w:cs="Calibri"/>
                <w:sz w:val="24"/>
                <w:szCs w:val="24"/>
              </w:rPr>
              <w:t xml:space="preserve"> - număr -</w:t>
            </w:r>
          </w:p>
        </w:tc>
      </w:tr>
      <w:tr w:rsidR="00E84833" w:rsidRPr="00D25F85" w:rsidTr="003B2874">
        <w:trPr>
          <w:trHeight w:val="300"/>
        </w:trPr>
        <w:tc>
          <w:tcPr>
            <w:tcW w:w="1149"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C37353" w:rsidRPr="00D25F85" w:rsidRDefault="00C37353" w:rsidP="001B7038">
            <w:pPr>
              <w:spacing w:after="0" w:line="240" w:lineRule="auto"/>
              <w:rPr>
                <w:rFonts w:asciiTheme="majorHAnsi" w:hAnsiTheme="majorHAnsi" w:cs="Calibri"/>
                <w:b/>
                <w:bCs/>
                <w:sz w:val="18"/>
                <w:szCs w:val="18"/>
              </w:rPr>
            </w:pPr>
            <w:r w:rsidRPr="00D25F85">
              <w:rPr>
                <w:rFonts w:asciiTheme="majorHAnsi" w:hAnsiTheme="majorHAnsi" w:cs="Calibri"/>
                <w:b/>
                <w:bCs/>
                <w:sz w:val="18"/>
                <w:szCs w:val="18"/>
              </w:rPr>
              <w:t xml:space="preserve">   Prahova</w:t>
            </w:r>
          </w:p>
        </w:tc>
        <w:tc>
          <w:tcPr>
            <w:tcW w:w="4111" w:type="dxa"/>
            <w:gridSpan w:val="6"/>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7353" w:rsidRPr="00D25F85" w:rsidRDefault="00C37353" w:rsidP="001B7038">
            <w:pPr>
              <w:spacing w:after="0" w:line="240" w:lineRule="auto"/>
              <w:jc w:val="center"/>
              <w:rPr>
                <w:rFonts w:asciiTheme="majorHAnsi" w:hAnsiTheme="majorHAnsi" w:cs="Calibri"/>
                <w:b/>
                <w:bCs/>
                <w:sz w:val="18"/>
                <w:szCs w:val="18"/>
              </w:rPr>
            </w:pPr>
            <w:r w:rsidRPr="00D25F85">
              <w:rPr>
                <w:rFonts w:asciiTheme="majorHAnsi" w:hAnsiTheme="majorHAnsi" w:cs="Calibri"/>
                <w:b/>
                <w:bCs/>
                <w:sz w:val="18"/>
                <w:szCs w:val="18"/>
              </w:rPr>
              <w:t>Vehicule noi</w:t>
            </w:r>
          </w:p>
        </w:tc>
        <w:tc>
          <w:tcPr>
            <w:tcW w:w="4394" w:type="dxa"/>
            <w:gridSpan w:val="7"/>
            <w:vMerge w:val="restart"/>
            <w:tcBorders>
              <w:top w:val="single" w:sz="4" w:space="0" w:color="auto"/>
              <w:left w:val="single" w:sz="4" w:space="0" w:color="auto"/>
              <w:bottom w:val="single" w:sz="4" w:space="0" w:color="000000"/>
              <w:right w:val="nil"/>
            </w:tcBorders>
            <w:shd w:val="clear" w:color="auto" w:fill="auto"/>
            <w:noWrap/>
            <w:vAlign w:val="center"/>
            <w:hideMark/>
          </w:tcPr>
          <w:p w:rsidR="00C37353" w:rsidRPr="00D25F85" w:rsidRDefault="00C37353" w:rsidP="001B7038">
            <w:pPr>
              <w:spacing w:after="0" w:line="240" w:lineRule="auto"/>
              <w:jc w:val="center"/>
              <w:rPr>
                <w:rFonts w:asciiTheme="majorHAnsi" w:hAnsiTheme="majorHAnsi" w:cs="Calibri"/>
                <w:b/>
                <w:bCs/>
                <w:sz w:val="18"/>
                <w:szCs w:val="18"/>
              </w:rPr>
            </w:pPr>
            <w:r w:rsidRPr="00D25F85">
              <w:rPr>
                <w:rFonts w:asciiTheme="majorHAnsi" w:hAnsiTheme="majorHAnsi" w:cs="Calibri"/>
                <w:b/>
                <w:bCs/>
                <w:sz w:val="18"/>
                <w:szCs w:val="18"/>
              </w:rPr>
              <w:t>Vehicule importate second hand</w:t>
            </w:r>
          </w:p>
        </w:tc>
      </w:tr>
      <w:tr w:rsidR="00E84833" w:rsidRPr="00D25F85" w:rsidTr="003B2874">
        <w:trPr>
          <w:trHeight w:val="300"/>
        </w:trPr>
        <w:tc>
          <w:tcPr>
            <w:tcW w:w="1149" w:type="dxa"/>
            <w:vMerge/>
            <w:tcBorders>
              <w:top w:val="single" w:sz="4" w:space="0" w:color="000000"/>
              <w:left w:val="nil"/>
              <w:bottom w:val="single" w:sz="4" w:space="0" w:color="000000"/>
              <w:right w:val="single" w:sz="4" w:space="0" w:color="auto"/>
            </w:tcBorders>
            <w:vAlign w:val="center"/>
            <w:hideMark/>
          </w:tcPr>
          <w:p w:rsidR="00C37353" w:rsidRPr="00D25F85" w:rsidRDefault="00C37353" w:rsidP="001B7038">
            <w:pPr>
              <w:spacing w:after="0" w:line="240" w:lineRule="auto"/>
              <w:rPr>
                <w:rFonts w:asciiTheme="majorHAnsi" w:hAnsiTheme="majorHAnsi" w:cs="Calibri"/>
                <w:b/>
                <w:bCs/>
                <w:sz w:val="18"/>
                <w:szCs w:val="18"/>
              </w:rPr>
            </w:pPr>
          </w:p>
        </w:tc>
        <w:tc>
          <w:tcPr>
            <w:tcW w:w="4111" w:type="dxa"/>
            <w:gridSpan w:val="6"/>
            <w:vMerge/>
            <w:tcBorders>
              <w:top w:val="single" w:sz="4" w:space="0" w:color="auto"/>
              <w:left w:val="single" w:sz="4" w:space="0" w:color="auto"/>
              <w:bottom w:val="single" w:sz="4" w:space="0" w:color="000000"/>
              <w:right w:val="single" w:sz="4" w:space="0" w:color="auto"/>
            </w:tcBorders>
            <w:vAlign w:val="center"/>
            <w:hideMark/>
          </w:tcPr>
          <w:p w:rsidR="00C37353" w:rsidRPr="00D25F85" w:rsidRDefault="00C37353" w:rsidP="001B7038">
            <w:pPr>
              <w:spacing w:after="0" w:line="240" w:lineRule="auto"/>
              <w:rPr>
                <w:rFonts w:asciiTheme="majorHAnsi" w:hAnsiTheme="majorHAnsi" w:cs="Calibri"/>
                <w:b/>
                <w:bCs/>
                <w:sz w:val="18"/>
                <w:szCs w:val="18"/>
              </w:rPr>
            </w:pPr>
          </w:p>
        </w:tc>
        <w:tc>
          <w:tcPr>
            <w:tcW w:w="4394" w:type="dxa"/>
            <w:gridSpan w:val="7"/>
            <w:vMerge/>
            <w:tcBorders>
              <w:top w:val="nil"/>
              <w:left w:val="single" w:sz="4" w:space="0" w:color="auto"/>
              <w:bottom w:val="single" w:sz="4" w:space="0" w:color="auto"/>
              <w:right w:val="nil"/>
            </w:tcBorders>
            <w:vAlign w:val="center"/>
            <w:hideMark/>
          </w:tcPr>
          <w:p w:rsidR="00C37353" w:rsidRPr="00D25F85" w:rsidRDefault="00C37353" w:rsidP="001B7038">
            <w:pPr>
              <w:spacing w:after="0" w:line="240" w:lineRule="auto"/>
              <w:rPr>
                <w:rFonts w:asciiTheme="majorHAnsi" w:hAnsiTheme="majorHAnsi" w:cs="Calibri"/>
                <w:b/>
                <w:bCs/>
                <w:sz w:val="18"/>
                <w:szCs w:val="18"/>
              </w:rPr>
            </w:pPr>
          </w:p>
        </w:tc>
      </w:tr>
      <w:tr w:rsidR="00E84833" w:rsidRPr="00D25F85" w:rsidTr="003B2874">
        <w:trPr>
          <w:trHeight w:val="810"/>
        </w:trPr>
        <w:tc>
          <w:tcPr>
            <w:tcW w:w="1149" w:type="dxa"/>
            <w:vMerge/>
            <w:tcBorders>
              <w:top w:val="single" w:sz="4" w:space="0" w:color="000000"/>
              <w:left w:val="nil"/>
              <w:bottom w:val="single" w:sz="4" w:space="0" w:color="000000"/>
              <w:right w:val="single" w:sz="4" w:space="0" w:color="auto"/>
            </w:tcBorders>
            <w:vAlign w:val="center"/>
            <w:hideMark/>
          </w:tcPr>
          <w:p w:rsidR="00C37353" w:rsidRPr="00D25F85" w:rsidRDefault="00C37353" w:rsidP="001B7038">
            <w:pPr>
              <w:spacing w:after="0" w:line="240" w:lineRule="auto"/>
              <w:rPr>
                <w:rFonts w:asciiTheme="majorHAnsi" w:hAnsiTheme="majorHAnsi" w:cs="Calibri"/>
                <w:b/>
                <w:bCs/>
                <w:sz w:val="18"/>
                <w:szCs w:val="18"/>
              </w:rPr>
            </w:pPr>
          </w:p>
        </w:tc>
        <w:tc>
          <w:tcPr>
            <w:tcW w:w="1560" w:type="dxa"/>
            <w:gridSpan w:val="3"/>
            <w:tcBorders>
              <w:top w:val="nil"/>
              <w:left w:val="single" w:sz="4" w:space="0" w:color="auto"/>
              <w:bottom w:val="single" w:sz="4" w:space="0" w:color="auto"/>
              <w:right w:val="nil"/>
            </w:tcBorders>
            <w:shd w:val="clear" w:color="auto" w:fill="auto"/>
            <w:vAlign w:val="center"/>
          </w:tcPr>
          <w:p w:rsidR="00C37353" w:rsidRPr="00D25F85" w:rsidRDefault="00C37353" w:rsidP="00426BA0">
            <w:pPr>
              <w:ind w:left="-108"/>
              <w:jc w:val="right"/>
              <w:rPr>
                <w:rFonts w:asciiTheme="majorHAnsi" w:hAnsiTheme="majorHAnsi" w:cs="Calibri"/>
                <w:b/>
                <w:bCs/>
                <w:sz w:val="18"/>
                <w:szCs w:val="18"/>
              </w:rPr>
            </w:pPr>
            <w:r w:rsidRPr="00D25F85">
              <w:rPr>
                <w:rFonts w:asciiTheme="majorHAnsi" w:hAnsiTheme="majorHAnsi" w:cs="Calibri"/>
                <w:b/>
                <w:bCs/>
                <w:sz w:val="18"/>
                <w:szCs w:val="18"/>
              </w:rPr>
              <w:t>Autocamioane</w:t>
            </w:r>
            <w:r w:rsidR="006904EC" w:rsidRPr="00D25F85">
              <w:rPr>
                <w:rFonts w:asciiTheme="majorHAnsi" w:hAnsiTheme="majorHAnsi" w:cs="Calibri"/>
                <w:b/>
                <w:bCs/>
                <w:sz w:val="18"/>
                <w:szCs w:val="18"/>
              </w:rPr>
              <w:t xml:space="preserve"> </w:t>
            </w:r>
            <w:r w:rsidR="006904EC" w:rsidRPr="00D25F85">
              <w:rPr>
                <w:rStyle w:val="FootnoteReference"/>
                <w:rFonts w:asciiTheme="majorHAnsi" w:hAnsiTheme="majorHAnsi" w:cs="Calibri"/>
                <w:b/>
                <w:bCs/>
                <w:sz w:val="18"/>
                <w:szCs w:val="18"/>
              </w:rPr>
              <w:footnoteReference w:id="9"/>
            </w:r>
            <w:r w:rsidRPr="00D25F85">
              <w:rPr>
                <w:rFonts w:asciiTheme="majorHAnsi" w:hAnsiTheme="majorHAnsi" w:cs="Calibri"/>
                <w:b/>
                <w:bCs/>
                <w:sz w:val="18"/>
                <w:szCs w:val="18"/>
              </w:rPr>
              <w:t xml:space="preserve"> </w:t>
            </w:r>
          </w:p>
        </w:tc>
        <w:tc>
          <w:tcPr>
            <w:tcW w:w="1275" w:type="dxa"/>
            <w:gridSpan w:val="2"/>
            <w:tcBorders>
              <w:top w:val="nil"/>
              <w:left w:val="nil"/>
              <w:bottom w:val="single" w:sz="4" w:space="0" w:color="auto"/>
              <w:right w:val="nil"/>
            </w:tcBorders>
            <w:shd w:val="clear" w:color="auto" w:fill="auto"/>
            <w:vAlign w:val="center"/>
          </w:tcPr>
          <w:p w:rsidR="00C37353" w:rsidRPr="00D25F85" w:rsidRDefault="00C37353" w:rsidP="00426BA0">
            <w:pPr>
              <w:ind w:left="-108"/>
              <w:jc w:val="right"/>
              <w:rPr>
                <w:rFonts w:asciiTheme="majorHAnsi" w:hAnsiTheme="majorHAnsi" w:cs="Calibri"/>
                <w:b/>
                <w:bCs/>
                <w:sz w:val="18"/>
                <w:szCs w:val="18"/>
              </w:rPr>
            </w:pPr>
            <w:r w:rsidRPr="00D25F85">
              <w:rPr>
                <w:rFonts w:asciiTheme="majorHAnsi" w:hAnsiTheme="majorHAnsi" w:cs="Calibri"/>
                <w:b/>
                <w:bCs/>
                <w:sz w:val="18"/>
                <w:szCs w:val="18"/>
              </w:rPr>
              <w:t xml:space="preserve">Autotractoare </w:t>
            </w:r>
          </w:p>
        </w:tc>
        <w:tc>
          <w:tcPr>
            <w:tcW w:w="1276" w:type="dxa"/>
            <w:tcBorders>
              <w:top w:val="nil"/>
              <w:left w:val="nil"/>
              <w:bottom w:val="single" w:sz="4" w:space="0" w:color="auto"/>
              <w:right w:val="single" w:sz="4" w:space="0" w:color="auto"/>
            </w:tcBorders>
            <w:shd w:val="clear" w:color="auto" w:fill="auto"/>
            <w:vAlign w:val="center"/>
          </w:tcPr>
          <w:p w:rsidR="00C37353" w:rsidRPr="00D25F85" w:rsidRDefault="00C37353" w:rsidP="00426BA0">
            <w:pPr>
              <w:ind w:left="-108"/>
              <w:jc w:val="right"/>
              <w:rPr>
                <w:rFonts w:asciiTheme="majorHAnsi" w:hAnsiTheme="majorHAnsi" w:cs="Calibri"/>
                <w:b/>
                <w:bCs/>
                <w:sz w:val="18"/>
                <w:szCs w:val="18"/>
              </w:rPr>
            </w:pPr>
            <w:r w:rsidRPr="00D25F85">
              <w:rPr>
                <w:rFonts w:asciiTheme="majorHAnsi" w:hAnsiTheme="majorHAnsi" w:cs="Calibri"/>
                <w:b/>
                <w:bCs/>
                <w:sz w:val="18"/>
                <w:szCs w:val="18"/>
              </w:rPr>
              <w:t xml:space="preserve"> Remorci şi semiremorci</w:t>
            </w:r>
          </w:p>
        </w:tc>
        <w:tc>
          <w:tcPr>
            <w:tcW w:w="1559" w:type="dxa"/>
            <w:gridSpan w:val="3"/>
            <w:tcBorders>
              <w:top w:val="nil"/>
              <w:left w:val="single" w:sz="4" w:space="0" w:color="auto"/>
              <w:bottom w:val="single" w:sz="4" w:space="0" w:color="auto"/>
              <w:right w:val="nil"/>
            </w:tcBorders>
            <w:shd w:val="clear" w:color="auto" w:fill="auto"/>
            <w:vAlign w:val="center"/>
          </w:tcPr>
          <w:p w:rsidR="00C37353" w:rsidRPr="00D25F85" w:rsidRDefault="00C37353" w:rsidP="003B2874">
            <w:pPr>
              <w:ind w:left="-108"/>
              <w:jc w:val="right"/>
              <w:rPr>
                <w:rFonts w:asciiTheme="majorHAnsi" w:hAnsiTheme="majorHAnsi" w:cs="Calibri"/>
                <w:b/>
                <w:bCs/>
                <w:sz w:val="18"/>
                <w:szCs w:val="18"/>
              </w:rPr>
            </w:pPr>
            <w:r w:rsidRPr="00D25F85">
              <w:rPr>
                <w:rFonts w:asciiTheme="majorHAnsi" w:hAnsiTheme="majorHAnsi" w:cs="Calibri"/>
                <w:b/>
                <w:bCs/>
                <w:sz w:val="18"/>
                <w:szCs w:val="18"/>
              </w:rPr>
              <w:t xml:space="preserve">Autocamioane </w:t>
            </w:r>
            <w:r w:rsidR="006904EC" w:rsidRPr="00D25F85">
              <w:rPr>
                <w:rFonts w:asciiTheme="majorHAnsi" w:hAnsiTheme="majorHAnsi" w:cs="Calibri"/>
                <w:b/>
                <w:bCs/>
                <w:sz w:val="18"/>
                <w:szCs w:val="18"/>
                <w:vertAlign w:val="superscript"/>
              </w:rPr>
              <w:t>8</w:t>
            </w:r>
            <w:r w:rsidRPr="00D25F85">
              <w:rPr>
                <w:rFonts w:asciiTheme="majorHAnsi" w:hAnsiTheme="majorHAnsi" w:cs="Calibri"/>
                <w:b/>
                <w:bCs/>
                <w:sz w:val="18"/>
                <w:szCs w:val="18"/>
                <w:vertAlign w:val="superscript"/>
              </w:rPr>
              <w:t>)</w:t>
            </w:r>
          </w:p>
        </w:tc>
        <w:tc>
          <w:tcPr>
            <w:tcW w:w="1418" w:type="dxa"/>
            <w:gridSpan w:val="2"/>
            <w:tcBorders>
              <w:top w:val="nil"/>
              <w:left w:val="nil"/>
              <w:bottom w:val="single" w:sz="4" w:space="0" w:color="auto"/>
              <w:right w:val="nil"/>
            </w:tcBorders>
            <w:shd w:val="clear" w:color="auto" w:fill="auto"/>
            <w:vAlign w:val="center"/>
          </w:tcPr>
          <w:p w:rsidR="00C37353" w:rsidRPr="00D25F85" w:rsidRDefault="00C37353">
            <w:pPr>
              <w:jc w:val="right"/>
              <w:rPr>
                <w:rFonts w:asciiTheme="majorHAnsi" w:hAnsiTheme="majorHAnsi" w:cs="Calibri"/>
                <w:b/>
                <w:bCs/>
                <w:sz w:val="18"/>
                <w:szCs w:val="18"/>
              </w:rPr>
            </w:pPr>
            <w:r w:rsidRPr="00D25F85">
              <w:rPr>
                <w:rFonts w:asciiTheme="majorHAnsi" w:hAnsiTheme="majorHAnsi" w:cs="Calibri"/>
                <w:b/>
                <w:bCs/>
                <w:sz w:val="18"/>
                <w:szCs w:val="18"/>
              </w:rPr>
              <w:t xml:space="preserve">Autotractoare </w:t>
            </w:r>
          </w:p>
        </w:tc>
        <w:tc>
          <w:tcPr>
            <w:tcW w:w="1417" w:type="dxa"/>
            <w:gridSpan w:val="2"/>
            <w:tcBorders>
              <w:top w:val="nil"/>
              <w:left w:val="nil"/>
              <w:bottom w:val="single" w:sz="4" w:space="0" w:color="auto"/>
              <w:right w:val="nil"/>
            </w:tcBorders>
            <w:shd w:val="clear" w:color="auto" w:fill="auto"/>
            <w:vAlign w:val="center"/>
          </w:tcPr>
          <w:p w:rsidR="00C37353" w:rsidRPr="00D25F85" w:rsidRDefault="00C37353" w:rsidP="003B2874">
            <w:pPr>
              <w:rPr>
                <w:rFonts w:asciiTheme="majorHAnsi" w:hAnsiTheme="majorHAnsi" w:cs="Calibri"/>
                <w:b/>
                <w:bCs/>
                <w:sz w:val="18"/>
                <w:szCs w:val="18"/>
              </w:rPr>
            </w:pPr>
            <w:r w:rsidRPr="00D25F85">
              <w:rPr>
                <w:rFonts w:asciiTheme="majorHAnsi" w:hAnsiTheme="majorHAnsi" w:cs="Calibri"/>
                <w:b/>
                <w:bCs/>
                <w:sz w:val="18"/>
                <w:szCs w:val="18"/>
              </w:rPr>
              <w:t>Remorci şi semiremorci</w:t>
            </w:r>
          </w:p>
        </w:tc>
      </w:tr>
      <w:tr w:rsidR="00E84833" w:rsidRPr="00D25F85" w:rsidTr="003B2874">
        <w:trPr>
          <w:trHeight w:val="300"/>
        </w:trPr>
        <w:tc>
          <w:tcPr>
            <w:tcW w:w="1149" w:type="dxa"/>
            <w:tcBorders>
              <w:top w:val="nil"/>
              <w:left w:val="nil"/>
              <w:bottom w:val="nil"/>
              <w:right w:val="nil"/>
            </w:tcBorders>
            <w:shd w:val="clear" w:color="auto" w:fill="auto"/>
            <w:noWrap/>
            <w:vAlign w:val="bottom"/>
            <w:hideMark/>
          </w:tcPr>
          <w:p w:rsidR="00C37353" w:rsidRPr="00D25F85" w:rsidRDefault="00C37353" w:rsidP="001B7038">
            <w:pPr>
              <w:spacing w:after="0" w:line="240" w:lineRule="auto"/>
              <w:rPr>
                <w:rFonts w:asciiTheme="majorHAnsi" w:hAnsiTheme="majorHAnsi" w:cs="Calibri"/>
                <w:sz w:val="18"/>
                <w:szCs w:val="18"/>
              </w:rPr>
            </w:pPr>
            <w:r w:rsidRPr="00D25F85">
              <w:rPr>
                <w:rFonts w:asciiTheme="majorHAnsi" w:hAnsiTheme="majorHAnsi" w:cs="Calibri"/>
                <w:sz w:val="18"/>
                <w:szCs w:val="18"/>
              </w:rPr>
              <w:t xml:space="preserve">SEM. I </w:t>
            </w:r>
            <w:r w:rsidR="00583A47" w:rsidRPr="00D25F85">
              <w:rPr>
                <w:rFonts w:asciiTheme="majorHAnsi" w:hAnsiTheme="majorHAnsi" w:cs="Calibri"/>
                <w:sz w:val="18"/>
                <w:szCs w:val="18"/>
              </w:rPr>
              <w:t>2023</w:t>
            </w:r>
          </w:p>
        </w:tc>
        <w:tc>
          <w:tcPr>
            <w:tcW w:w="1560" w:type="dxa"/>
            <w:gridSpan w:val="3"/>
            <w:tcBorders>
              <w:top w:val="nil"/>
              <w:left w:val="nil"/>
              <w:bottom w:val="nil"/>
              <w:right w:val="nil"/>
            </w:tcBorders>
            <w:shd w:val="clear" w:color="auto" w:fill="auto"/>
            <w:noWrap/>
            <w:vAlign w:val="bottom"/>
          </w:tcPr>
          <w:p w:rsidR="00C37353" w:rsidRPr="00D25F85" w:rsidRDefault="00F224E5" w:rsidP="001B703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86</w:t>
            </w:r>
          </w:p>
        </w:tc>
        <w:tc>
          <w:tcPr>
            <w:tcW w:w="1275" w:type="dxa"/>
            <w:gridSpan w:val="2"/>
            <w:tcBorders>
              <w:top w:val="nil"/>
              <w:left w:val="nil"/>
              <w:bottom w:val="nil"/>
              <w:right w:val="nil"/>
            </w:tcBorders>
            <w:shd w:val="clear" w:color="auto" w:fill="auto"/>
            <w:noWrap/>
            <w:vAlign w:val="bottom"/>
          </w:tcPr>
          <w:p w:rsidR="00C37353" w:rsidRPr="00D25F85" w:rsidRDefault="00F224E5" w:rsidP="00426BA0">
            <w:pPr>
              <w:spacing w:after="0" w:line="240" w:lineRule="auto"/>
              <w:ind w:left="-108"/>
              <w:jc w:val="right"/>
              <w:rPr>
                <w:rFonts w:asciiTheme="majorHAnsi" w:hAnsiTheme="majorHAnsi" w:cs="Calibri"/>
                <w:sz w:val="18"/>
                <w:szCs w:val="18"/>
              </w:rPr>
            </w:pPr>
            <w:r w:rsidRPr="00D25F85">
              <w:rPr>
                <w:rFonts w:asciiTheme="majorHAnsi" w:hAnsiTheme="majorHAnsi" w:cs="Calibri"/>
                <w:sz w:val="18"/>
                <w:szCs w:val="18"/>
              </w:rPr>
              <w:t>91</w:t>
            </w:r>
          </w:p>
        </w:tc>
        <w:tc>
          <w:tcPr>
            <w:tcW w:w="1276" w:type="dxa"/>
            <w:tcBorders>
              <w:top w:val="nil"/>
              <w:left w:val="nil"/>
              <w:bottom w:val="nil"/>
              <w:right w:val="single" w:sz="4" w:space="0" w:color="auto"/>
            </w:tcBorders>
            <w:shd w:val="clear" w:color="auto" w:fill="auto"/>
            <w:noWrap/>
            <w:vAlign w:val="bottom"/>
          </w:tcPr>
          <w:p w:rsidR="00C37353" w:rsidRPr="00D25F85" w:rsidRDefault="00F224E5" w:rsidP="00426BA0">
            <w:pPr>
              <w:spacing w:after="0" w:line="240" w:lineRule="auto"/>
              <w:ind w:left="-108"/>
              <w:jc w:val="right"/>
              <w:rPr>
                <w:rFonts w:asciiTheme="majorHAnsi" w:hAnsiTheme="majorHAnsi" w:cs="Calibri"/>
                <w:sz w:val="18"/>
                <w:szCs w:val="18"/>
              </w:rPr>
            </w:pPr>
            <w:r w:rsidRPr="00D25F85">
              <w:rPr>
                <w:rFonts w:asciiTheme="majorHAnsi" w:hAnsiTheme="majorHAnsi" w:cs="Calibri"/>
                <w:sz w:val="18"/>
                <w:szCs w:val="18"/>
              </w:rPr>
              <w:t>353</w:t>
            </w:r>
          </w:p>
        </w:tc>
        <w:tc>
          <w:tcPr>
            <w:tcW w:w="1559" w:type="dxa"/>
            <w:gridSpan w:val="3"/>
            <w:tcBorders>
              <w:top w:val="nil"/>
              <w:left w:val="single" w:sz="4" w:space="0" w:color="auto"/>
              <w:bottom w:val="nil"/>
              <w:right w:val="nil"/>
            </w:tcBorders>
            <w:shd w:val="clear" w:color="auto" w:fill="auto"/>
            <w:noWrap/>
            <w:vAlign w:val="bottom"/>
          </w:tcPr>
          <w:p w:rsidR="00C37353" w:rsidRPr="00D25F85" w:rsidRDefault="00F224E5" w:rsidP="003B2874">
            <w:pPr>
              <w:spacing w:after="0" w:line="240" w:lineRule="auto"/>
              <w:ind w:left="-108"/>
              <w:jc w:val="right"/>
              <w:rPr>
                <w:rFonts w:asciiTheme="majorHAnsi" w:hAnsiTheme="majorHAnsi" w:cs="Calibri"/>
                <w:sz w:val="18"/>
                <w:szCs w:val="18"/>
              </w:rPr>
            </w:pPr>
            <w:r w:rsidRPr="00D25F85">
              <w:rPr>
                <w:rFonts w:asciiTheme="majorHAnsi" w:hAnsiTheme="majorHAnsi" w:cs="Calibri"/>
                <w:sz w:val="18"/>
                <w:szCs w:val="18"/>
              </w:rPr>
              <w:t>393</w:t>
            </w:r>
          </w:p>
        </w:tc>
        <w:tc>
          <w:tcPr>
            <w:tcW w:w="1418" w:type="dxa"/>
            <w:gridSpan w:val="2"/>
            <w:tcBorders>
              <w:top w:val="nil"/>
              <w:left w:val="nil"/>
              <w:bottom w:val="nil"/>
              <w:right w:val="nil"/>
            </w:tcBorders>
            <w:shd w:val="clear" w:color="auto" w:fill="auto"/>
            <w:noWrap/>
            <w:vAlign w:val="bottom"/>
          </w:tcPr>
          <w:p w:rsidR="00C37353" w:rsidRPr="00D25F85" w:rsidRDefault="00F224E5" w:rsidP="001B703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86</w:t>
            </w:r>
          </w:p>
        </w:tc>
        <w:tc>
          <w:tcPr>
            <w:tcW w:w="1417" w:type="dxa"/>
            <w:gridSpan w:val="2"/>
            <w:tcBorders>
              <w:top w:val="nil"/>
              <w:left w:val="nil"/>
              <w:bottom w:val="nil"/>
              <w:right w:val="nil"/>
            </w:tcBorders>
            <w:shd w:val="clear" w:color="auto" w:fill="auto"/>
            <w:noWrap/>
            <w:vAlign w:val="bottom"/>
          </w:tcPr>
          <w:p w:rsidR="00C37353" w:rsidRPr="00D25F85" w:rsidRDefault="00F224E5" w:rsidP="001B703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255</w:t>
            </w:r>
          </w:p>
        </w:tc>
      </w:tr>
      <w:tr w:rsidR="00841528" w:rsidRPr="00D25F85" w:rsidTr="003B2874">
        <w:trPr>
          <w:trHeight w:val="300"/>
        </w:trPr>
        <w:tc>
          <w:tcPr>
            <w:tcW w:w="1149" w:type="dxa"/>
            <w:tcBorders>
              <w:top w:val="nil"/>
              <w:left w:val="nil"/>
              <w:bottom w:val="nil"/>
              <w:right w:val="nil"/>
            </w:tcBorders>
            <w:shd w:val="clear" w:color="auto" w:fill="auto"/>
            <w:noWrap/>
            <w:vAlign w:val="bottom"/>
            <w:hideMark/>
          </w:tcPr>
          <w:p w:rsidR="00841528" w:rsidRPr="00D25F85" w:rsidRDefault="00841528" w:rsidP="00841528">
            <w:pPr>
              <w:spacing w:after="0" w:line="240" w:lineRule="auto"/>
              <w:rPr>
                <w:rFonts w:asciiTheme="majorHAnsi" w:hAnsiTheme="majorHAnsi" w:cs="Calibri"/>
                <w:sz w:val="18"/>
                <w:szCs w:val="18"/>
              </w:rPr>
            </w:pPr>
            <w:r w:rsidRPr="00D25F85">
              <w:rPr>
                <w:rFonts w:asciiTheme="majorHAnsi" w:hAnsiTheme="majorHAnsi" w:cs="Calibri"/>
                <w:sz w:val="18"/>
                <w:szCs w:val="18"/>
              </w:rPr>
              <w:t>SEM. I 2022</w:t>
            </w:r>
          </w:p>
        </w:tc>
        <w:tc>
          <w:tcPr>
            <w:tcW w:w="1560" w:type="dxa"/>
            <w:gridSpan w:val="3"/>
            <w:tcBorders>
              <w:top w:val="nil"/>
              <w:left w:val="nil"/>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94</w:t>
            </w:r>
          </w:p>
        </w:tc>
        <w:tc>
          <w:tcPr>
            <w:tcW w:w="1275" w:type="dxa"/>
            <w:gridSpan w:val="2"/>
            <w:tcBorders>
              <w:top w:val="nil"/>
              <w:left w:val="nil"/>
              <w:bottom w:val="nil"/>
              <w:right w:val="nil"/>
            </w:tcBorders>
            <w:shd w:val="clear" w:color="auto" w:fill="auto"/>
            <w:noWrap/>
            <w:vAlign w:val="bottom"/>
          </w:tcPr>
          <w:p w:rsidR="00841528" w:rsidRPr="00D25F85" w:rsidRDefault="00841528" w:rsidP="00841528">
            <w:pPr>
              <w:spacing w:after="0" w:line="240" w:lineRule="auto"/>
              <w:ind w:left="-108"/>
              <w:jc w:val="right"/>
              <w:rPr>
                <w:rFonts w:asciiTheme="majorHAnsi" w:hAnsiTheme="majorHAnsi" w:cs="Calibri"/>
                <w:sz w:val="18"/>
                <w:szCs w:val="18"/>
              </w:rPr>
            </w:pPr>
            <w:r w:rsidRPr="00D25F85">
              <w:rPr>
                <w:rFonts w:asciiTheme="majorHAnsi" w:hAnsiTheme="majorHAnsi" w:cs="Calibri"/>
                <w:sz w:val="18"/>
                <w:szCs w:val="18"/>
              </w:rPr>
              <w:t>96</w:t>
            </w:r>
          </w:p>
        </w:tc>
        <w:tc>
          <w:tcPr>
            <w:tcW w:w="1276" w:type="dxa"/>
            <w:tcBorders>
              <w:top w:val="nil"/>
              <w:left w:val="nil"/>
              <w:bottom w:val="nil"/>
              <w:right w:val="single" w:sz="4" w:space="0" w:color="auto"/>
            </w:tcBorders>
            <w:shd w:val="clear" w:color="auto" w:fill="auto"/>
            <w:noWrap/>
            <w:vAlign w:val="bottom"/>
          </w:tcPr>
          <w:p w:rsidR="00841528" w:rsidRPr="00D25F85" w:rsidRDefault="00841528" w:rsidP="00841528">
            <w:pPr>
              <w:spacing w:after="0" w:line="240" w:lineRule="auto"/>
              <w:ind w:left="-108"/>
              <w:jc w:val="right"/>
              <w:rPr>
                <w:rFonts w:asciiTheme="majorHAnsi" w:hAnsiTheme="majorHAnsi" w:cs="Calibri"/>
                <w:sz w:val="18"/>
                <w:szCs w:val="18"/>
              </w:rPr>
            </w:pPr>
            <w:r w:rsidRPr="00D25F85">
              <w:rPr>
                <w:rFonts w:asciiTheme="majorHAnsi" w:hAnsiTheme="majorHAnsi" w:cs="Calibri"/>
                <w:sz w:val="18"/>
                <w:szCs w:val="18"/>
              </w:rPr>
              <w:t>334</w:t>
            </w:r>
          </w:p>
        </w:tc>
        <w:tc>
          <w:tcPr>
            <w:tcW w:w="1559" w:type="dxa"/>
            <w:gridSpan w:val="3"/>
            <w:tcBorders>
              <w:top w:val="nil"/>
              <w:left w:val="single" w:sz="4" w:space="0" w:color="auto"/>
              <w:bottom w:val="nil"/>
              <w:right w:val="nil"/>
            </w:tcBorders>
            <w:shd w:val="clear" w:color="auto" w:fill="auto"/>
            <w:noWrap/>
            <w:vAlign w:val="bottom"/>
          </w:tcPr>
          <w:p w:rsidR="00841528" w:rsidRPr="00D25F85" w:rsidRDefault="00841528" w:rsidP="00841528">
            <w:pPr>
              <w:spacing w:after="0" w:line="240" w:lineRule="auto"/>
              <w:ind w:left="-108"/>
              <w:jc w:val="right"/>
              <w:rPr>
                <w:rFonts w:asciiTheme="majorHAnsi" w:hAnsiTheme="majorHAnsi" w:cs="Calibri"/>
                <w:sz w:val="18"/>
                <w:szCs w:val="18"/>
              </w:rPr>
            </w:pPr>
            <w:r w:rsidRPr="00D25F85">
              <w:rPr>
                <w:rFonts w:asciiTheme="majorHAnsi" w:hAnsiTheme="majorHAnsi" w:cs="Calibri"/>
                <w:sz w:val="18"/>
                <w:szCs w:val="18"/>
              </w:rPr>
              <w:t>575</w:t>
            </w:r>
          </w:p>
        </w:tc>
        <w:tc>
          <w:tcPr>
            <w:tcW w:w="1418" w:type="dxa"/>
            <w:gridSpan w:val="2"/>
            <w:tcBorders>
              <w:top w:val="nil"/>
              <w:left w:val="nil"/>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93</w:t>
            </w:r>
          </w:p>
        </w:tc>
        <w:tc>
          <w:tcPr>
            <w:tcW w:w="1417" w:type="dxa"/>
            <w:gridSpan w:val="2"/>
            <w:tcBorders>
              <w:top w:val="nil"/>
              <w:left w:val="nil"/>
              <w:bottom w:val="nil"/>
              <w:right w:val="nil"/>
            </w:tcBorders>
            <w:shd w:val="clear" w:color="auto" w:fill="auto"/>
            <w:noWrap/>
            <w:vAlign w:val="bottom"/>
          </w:tcPr>
          <w:p w:rsidR="00841528" w:rsidRPr="00D25F85" w:rsidRDefault="00841528" w:rsidP="00841528">
            <w:pPr>
              <w:spacing w:after="0" w:line="240" w:lineRule="auto"/>
              <w:jc w:val="right"/>
              <w:rPr>
                <w:rFonts w:asciiTheme="majorHAnsi" w:hAnsiTheme="majorHAnsi" w:cs="Calibri"/>
                <w:sz w:val="18"/>
                <w:szCs w:val="18"/>
              </w:rPr>
            </w:pPr>
            <w:r w:rsidRPr="00D25F85">
              <w:rPr>
                <w:rFonts w:asciiTheme="majorHAnsi" w:hAnsiTheme="majorHAnsi" w:cs="Calibri"/>
                <w:sz w:val="18"/>
                <w:szCs w:val="18"/>
              </w:rPr>
              <w:t>267</w:t>
            </w:r>
          </w:p>
        </w:tc>
      </w:tr>
    </w:tbl>
    <w:p w:rsidR="001024DC" w:rsidRPr="00793447" w:rsidRDefault="001024DC" w:rsidP="00F9703A">
      <w:pPr>
        <w:jc w:val="center"/>
        <w:rPr>
          <w:rFonts w:asciiTheme="majorHAnsi" w:hAnsiTheme="majorHAnsi"/>
          <w:sz w:val="24"/>
          <w:szCs w:val="24"/>
        </w:rPr>
      </w:pPr>
    </w:p>
    <w:p w:rsidR="00CD4813" w:rsidRPr="00793447" w:rsidRDefault="00CD4813" w:rsidP="00CD4813">
      <w:pPr>
        <w:spacing w:after="0" w:line="240" w:lineRule="auto"/>
        <w:jc w:val="center"/>
        <w:rPr>
          <w:rFonts w:asciiTheme="majorHAnsi" w:hAnsiTheme="majorHAnsi"/>
          <w:color w:val="FF0000"/>
          <w:sz w:val="24"/>
          <w:szCs w:val="24"/>
        </w:rPr>
      </w:pPr>
    </w:p>
    <w:p w:rsidR="00CD4813" w:rsidRPr="00793447" w:rsidRDefault="00CD4813" w:rsidP="00CD4813">
      <w:pPr>
        <w:spacing w:after="0" w:line="240" w:lineRule="auto"/>
        <w:jc w:val="center"/>
        <w:rPr>
          <w:rFonts w:asciiTheme="majorHAnsi" w:hAnsiTheme="majorHAnsi"/>
          <w:sz w:val="24"/>
          <w:szCs w:val="24"/>
        </w:rPr>
      </w:pPr>
      <w:r w:rsidRPr="00793447">
        <w:rPr>
          <w:rFonts w:asciiTheme="majorHAnsi" w:hAnsiTheme="majorHAnsi"/>
          <w:sz w:val="24"/>
          <w:szCs w:val="24"/>
        </w:rPr>
        <w:t xml:space="preserve">Structura înmatriculărilor noi de vehicule rutiere pentru transportul mărfurilor, </w:t>
      </w:r>
    </w:p>
    <w:p w:rsidR="00151D22" w:rsidRPr="00793447" w:rsidRDefault="00CD4813" w:rsidP="00CD4813">
      <w:pPr>
        <w:spacing w:after="0" w:line="240" w:lineRule="auto"/>
        <w:jc w:val="center"/>
        <w:rPr>
          <w:rFonts w:asciiTheme="majorHAnsi" w:hAnsiTheme="majorHAnsi"/>
          <w:sz w:val="24"/>
          <w:szCs w:val="24"/>
        </w:rPr>
      </w:pPr>
      <w:r w:rsidRPr="00793447">
        <w:rPr>
          <w:rFonts w:asciiTheme="majorHAnsi" w:hAnsiTheme="majorHAnsi"/>
          <w:sz w:val="24"/>
          <w:szCs w:val="24"/>
        </w:rPr>
        <w:t xml:space="preserve">în semestrul I </w:t>
      </w:r>
      <w:r w:rsidR="00583A47" w:rsidRPr="00793447">
        <w:rPr>
          <w:rFonts w:asciiTheme="majorHAnsi" w:hAnsiTheme="majorHAnsi"/>
          <w:sz w:val="24"/>
          <w:szCs w:val="24"/>
        </w:rPr>
        <w:t>2023</w:t>
      </w:r>
    </w:p>
    <w:p w:rsidR="00F224E5" w:rsidRPr="00793447" w:rsidRDefault="00F224E5" w:rsidP="00CD4813">
      <w:pPr>
        <w:spacing w:after="0" w:line="240" w:lineRule="auto"/>
        <w:jc w:val="center"/>
        <w:rPr>
          <w:rFonts w:asciiTheme="majorHAnsi" w:hAnsiTheme="majorHAnsi"/>
          <w:sz w:val="24"/>
          <w:szCs w:val="24"/>
        </w:rPr>
      </w:pPr>
    </w:p>
    <w:p w:rsidR="00F224E5" w:rsidRPr="00793447" w:rsidRDefault="00F224E5" w:rsidP="00CD4813">
      <w:pPr>
        <w:spacing w:after="0" w:line="240" w:lineRule="auto"/>
        <w:jc w:val="center"/>
        <w:rPr>
          <w:rFonts w:asciiTheme="majorHAnsi" w:hAnsiTheme="majorHAnsi"/>
          <w:sz w:val="24"/>
          <w:szCs w:val="24"/>
        </w:rPr>
      </w:pPr>
      <w:r w:rsidRPr="00793447">
        <w:rPr>
          <w:rFonts w:asciiTheme="majorHAnsi" w:hAnsiTheme="majorHAnsi"/>
          <w:noProof/>
          <w:sz w:val="24"/>
          <w:szCs w:val="24"/>
        </w:rPr>
        <w:drawing>
          <wp:inline distT="0" distB="0" distL="0" distR="0">
            <wp:extent cx="4585335" cy="2606722"/>
            <wp:effectExtent l="0" t="0" r="5715"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D4813" w:rsidRPr="00793447" w:rsidRDefault="00CD4813" w:rsidP="00CD4813">
      <w:pPr>
        <w:spacing w:after="0" w:line="240" w:lineRule="auto"/>
        <w:jc w:val="center"/>
        <w:rPr>
          <w:rFonts w:asciiTheme="majorHAnsi" w:hAnsiTheme="majorHAnsi"/>
          <w:color w:val="FF0000"/>
          <w:sz w:val="24"/>
          <w:szCs w:val="24"/>
        </w:rPr>
      </w:pPr>
    </w:p>
    <w:p w:rsidR="00CD4813" w:rsidRPr="00793447" w:rsidRDefault="00CD4813" w:rsidP="00633965">
      <w:pPr>
        <w:spacing w:after="0" w:line="240" w:lineRule="auto"/>
        <w:ind w:left="4395"/>
        <w:jc w:val="center"/>
        <w:rPr>
          <w:rFonts w:asciiTheme="majorHAnsi" w:hAnsiTheme="majorHAnsi"/>
          <w:color w:val="FF0000"/>
          <w:sz w:val="24"/>
          <w:szCs w:val="24"/>
        </w:rPr>
      </w:pPr>
    </w:p>
    <w:p w:rsidR="00F53527" w:rsidRDefault="00F53527" w:rsidP="00F53527">
      <w:pPr>
        <w:tabs>
          <w:tab w:val="left" w:pos="2534"/>
        </w:tabs>
        <w:spacing w:after="0" w:line="240" w:lineRule="auto"/>
        <w:ind w:left="-142"/>
        <w:rPr>
          <w:rFonts w:asciiTheme="majorHAnsi" w:hAnsiTheme="majorHAnsi"/>
          <w:b/>
          <w:color w:val="FF0000"/>
          <w:sz w:val="24"/>
          <w:szCs w:val="24"/>
        </w:rPr>
      </w:pPr>
      <w:r w:rsidRPr="00793447">
        <w:rPr>
          <w:rFonts w:asciiTheme="majorHAnsi" w:hAnsiTheme="majorHAnsi"/>
          <w:b/>
          <w:color w:val="FF0000"/>
          <w:sz w:val="24"/>
          <w:szCs w:val="24"/>
        </w:rPr>
        <w:tab/>
      </w:r>
    </w:p>
    <w:p w:rsidR="00930B66" w:rsidRDefault="00930B66" w:rsidP="00F53527">
      <w:pPr>
        <w:tabs>
          <w:tab w:val="left" w:pos="2534"/>
        </w:tabs>
        <w:spacing w:after="0" w:line="240" w:lineRule="auto"/>
        <w:ind w:left="-142"/>
        <w:rPr>
          <w:rFonts w:asciiTheme="majorHAnsi" w:hAnsiTheme="majorHAnsi"/>
          <w:b/>
          <w:color w:val="FF0000"/>
          <w:sz w:val="24"/>
          <w:szCs w:val="24"/>
        </w:rPr>
      </w:pPr>
    </w:p>
    <w:p w:rsidR="00930B66" w:rsidRDefault="00930B66" w:rsidP="00F53527">
      <w:pPr>
        <w:tabs>
          <w:tab w:val="left" w:pos="2534"/>
        </w:tabs>
        <w:spacing w:after="0" w:line="240" w:lineRule="auto"/>
        <w:ind w:left="-142"/>
        <w:rPr>
          <w:rFonts w:asciiTheme="majorHAnsi" w:hAnsiTheme="majorHAnsi"/>
          <w:b/>
          <w:color w:val="FF0000"/>
          <w:sz w:val="24"/>
          <w:szCs w:val="24"/>
        </w:rPr>
      </w:pPr>
    </w:p>
    <w:p w:rsidR="00930B66" w:rsidRDefault="00930B66" w:rsidP="00F53527">
      <w:pPr>
        <w:tabs>
          <w:tab w:val="left" w:pos="2534"/>
        </w:tabs>
        <w:spacing w:after="0" w:line="240" w:lineRule="auto"/>
        <w:ind w:left="-142"/>
        <w:rPr>
          <w:rFonts w:asciiTheme="majorHAnsi" w:hAnsiTheme="majorHAnsi"/>
          <w:b/>
          <w:color w:val="FF0000"/>
          <w:sz w:val="24"/>
          <w:szCs w:val="24"/>
        </w:rPr>
      </w:pPr>
    </w:p>
    <w:p w:rsidR="00930B66" w:rsidRPr="00793447" w:rsidRDefault="00930B66" w:rsidP="00F53527">
      <w:pPr>
        <w:tabs>
          <w:tab w:val="left" w:pos="2534"/>
        </w:tabs>
        <w:spacing w:after="0" w:line="240" w:lineRule="auto"/>
        <w:ind w:left="-142"/>
        <w:rPr>
          <w:rFonts w:asciiTheme="majorHAnsi" w:hAnsiTheme="majorHAnsi"/>
          <w:b/>
          <w:color w:val="FF0000"/>
          <w:sz w:val="24"/>
          <w:szCs w:val="24"/>
        </w:rPr>
      </w:pPr>
    </w:p>
    <w:p w:rsidR="00F53527" w:rsidRPr="00793447" w:rsidRDefault="00F53527" w:rsidP="00F53527">
      <w:pPr>
        <w:spacing w:after="0" w:line="240" w:lineRule="auto"/>
        <w:ind w:left="-142"/>
        <w:jc w:val="center"/>
        <w:rPr>
          <w:rFonts w:asciiTheme="majorHAnsi" w:hAnsiTheme="majorHAnsi"/>
          <w:b/>
          <w:color w:val="FF0000"/>
          <w:sz w:val="24"/>
          <w:szCs w:val="24"/>
        </w:rPr>
      </w:pPr>
    </w:p>
    <w:p w:rsidR="00F53527" w:rsidRDefault="00F53527" w:rsidP="00F53527">
      <w:pPr>
        <w:keepNext/>
        <w:spacing w:before="240" w:after="60" w:line="240" w:lineRule="auto"/>
        <w:jc w:val="both"/>
        <w:outlineLvl w:val="0"/>
        <w:rPr>
          <w:rFonts w:asciiTheme="majorHAnsi" w:hAnsiTheme="majorHAnsi"/>
          <w:b/>
          <w:bCs/>
          <w:kern w:val="32"/>
          <w:sz w:val="24"/>
          <w:szCs w:val="24"/>
          <w:vertAlign w:val="superscript"/>
          <w:lang w:eastAsia="ro-RO"/>
        </w:rPr>
      </w:pPr>
      <w:r w:rsidRPr="00793447">
        <w:rPr>
          <w:rFonts w:asciiTheme="majorHAnsi" w:hAnsiTheme="majorHAnsi"/>
          <w:b/>
          <w:bCs/>
          <w:kern w:val="32"/>
          <w:sz w:val="24"/>
          <w:szCs w:val="24"/>
          <w:lang w:val="ro-RO" w:eastAsia="ro-RO"/>
        </w:rPr>
        <w:t xml:space="preserve">2.5. INFLAŢIA ŞI EVOLUŢIA PREŢURILOR DE CONSUM </w:t>
      </w:r>
      <w:r w:rsidRPr="00793447">
        <w:rPr>
          <w:rFonts w:asciiTheme="majorHAnsi" w:hAnsiTheme="majorHAnsi"/>
          <w:b/>
          <w:bCs/>
          <w:kern w:val="32"/>
          <w:sz w:val="24"/>
          <w:szCs w:val="24"/>
          <w:vertAlign w:val="superscript"/>
          <w:lang w:val="ro-RO" w:eastAsia="ro-RO"/>
        </w:rPr>
        <w:footnoteReference w:id="10"/>
      </w:r>
      <w:r w:rsidRPr="00793447">
        <w:rPr>
          <w:rFonts w:asciiTheme="majorHAnsi" w:hAnsiTheme="majorHAnsi"/>
          <w:b/>
          <w:bCs/>
          <w:kern w:val="32"/>
          <w:sz w:val="24"/>
          <w:szCs w:val="24"/>
          <w:vertAlign w:val="superscript"/>
          <w:lang w:eastAsia="ro-RO"/>
        </w:rPr>
        <w:t>)</w:t>
      </w:r>
    </w:p>
    <w:p w:rsidR="00930B66" w:rsidRPr="00793447" w:rsidRDefault="00930B66" w:rsidP="00F53527">
      <w:pPr>
        <w:keepNext/>
        <w:spacing w:before="240" w:after="60" w:line="240" w:lineRule="auto"/>
        <w:jc w:val="both"/>
        <w:outlineLvl w:val="0"/>
        <w:rPr>
          <w:rFonts w:asciiTheme="majorHAnsi" w:hAnsiTheme="majorHAnsi"/>
          <w:b/>
          <w:bCs/>
          <w:kern w:val="32"/>
          <w:sz w:val="24"/>
          <w:szCs w:val="24"/>
          <w:lang w:eastAsia="ro-RO"/>
        </w:rPr>
      </w:pPr>
    </w:p>
    <w:p w:rsidR="00F53527" w:rsidRPr="00793447" w:rsidRDefault="00F53527" w:rsidP="00F53527">
      <w:pPr>
        <w:spacing w:after="0" w:line="240" w:lineRule="auto"/>
        <w:jc w:val="both"/>
        <w:rPr>
          <w:rFonts w:asciiTheme="majorHAnsi" w:hAnsiTheme="majorHAnsi" w:cs="Arial"/>
          <w:color w:val="FF0000"/>
          <w:sz w:val="24"/>
          <w:szCs w:val="24"/>
          <w:lang w:val="ro-RO" w:eastAsia="ro-RO"/>
        </w:rPr>
      </w:pP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Analiza inflației este un element esențial pe care trebuie să îl avem în vedere în contextul actualei situații economico-financiare.</w:t>
      </w: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 xml:space="preserve">Inflația determină reducerea veniturilor reale și, pe cale de consecință, influențează dramatic calitatea vieții populației. </w:t>
      </w: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Inflația, în mod paradoxal, are un efect de creștere a produsului intern brut pe o perioadă de timp, deoarece majorează valoarea adăugată brută și indicatorii finali la care se calculează TVA-ul, dar în termeni reali și a producției de bunuri propriu-zisă efectul este deosebit de negativ.</w:t>
      </w: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p>
    <w:p w:rsidR="00F53527" w:rsidRPr="00793447" w:rsidRDefault="00F53527" w:rsidP="00F53527">
      <w:pPr>
        <w:spacing w:after="0" w:line="240" w:lineRule="auto"/>
        <w:ind w:left="426"/>
        <w:jc w:val="both"/>
        <w:rPr>
          <w:rFonts w:asciiTheme="majorHAnsi" w:hAnsiTheme="majorHAnsi" w:cs="Arial"/>
          <w:b/>
          <w:sz w:val="24"/>
          <w:szCs w:val="24"/>
          <w:lang w:val="ro-RO" w:eastAsia="ro-RO"/>
        </w:rPr>
      </w:pPr>
      <w:r w:rsidRPr="00793447">
        <w:rPr>
          <w:rFonts w:asciiTheme="majorHAnsi" w:hAnsiTheme="majorHAnsi" w:cs="Arial"/>
          <w:b/>
          <w:sz w:val="24"/>
          <w:szCs w:val="24"/>
          <w:lang w:val="ro-RO" w:eastAsia="ro-RO"/>
        </w:rPr>
        <w:t xml:space="preserve">Indicele preţurilor de consum (IPC) </w:t>
      </w: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Indicii prețurilor de consum (IPC) acoperă cheltuielile monetare de bunuri și servicii pentru consumul final, pentru toate tipurile de gospodării rezidente, cu excepția gospodăriilor instituționale, în scopul de a oferi o imagine cât mai relevantă și precisă a inflației. IPC poate fi privit ca o metodă de măsurare, în linii mari, a prețurilor unui model de cheltuieli fixe.</w:t>
      </w:r>
    </w:p>
    <w:p w:rsidR="00F53527" w:rsidRPr="00793447" w:rsidRDefault="00F53527" w:rsidP="00F53527">
      <w:pPr>
        <w:spacing w:after="0" w:line="240" w:lineRule="auto"/>
        <w:ind w:firstLine="720"/>
        <w:jc w:val="both"/>
        <w:rPr>
          <w:rFonts w:asciiTheme="majorHAnsi" w:hAnsiTheme="majorHAnsi" w:cs="Arial"/>
          <w:sz w:val="24"/>
          <w:szCs w:val="24"/>
          <w:lang w:val="ro-RO" w:eastAsia="ro-RO"/>
        </w:rPr>
      </w:pPr>
    </w:p>
    <w:p w:rsidR="00F53527" w:rsidRPr="00793447" w:rsidRDefault="00F53527" w:rsidP="00F53527">
      <w:pPr>
        <w:numPr>
          <w:ilvl w:val="0"/>
          <w:numId w:val="31"/>
        </w:numPr>
        <w:tabs>
          <w:tab w:val="left" w:pos="993"/>
        </w:tabs>
        <w:spacing w:after="0" w:line="240" w:lineRule="auto"/>
        <w:ind w:left="709" w:firstLine="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Indicele preţurilor de consum în luna iunie 2023 comparativ cu luna mai 2023 este 100,40%.</w:t>
      </w:r>
    </w:p>
    <w:p w:rsidR="00F53527" w:rsidRPr="00793447" w:rsidRDefault="00F53527" w:rsidP="00F53527">
      <w:pPr>
        <w:numPr>
          <w:ilvl w:val="0"/>
          <w:numId w:val="31"/>
        </w:numPr>
        <w:tabs>
          <w:tab w:val="left" w:pos="993"/>
        </w:tabs>
        <w:spacing w:after="0" w:line="240" w:lineRule="auto"/>
        <w:ind w:left="709" w:firstLine="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Rata inflaţiei de la începutul anului (iunie 2023 comparativ cu decembrie 2022) este 4,2%.</w:t>
      </w:r>
    </w:p>
    <w:p w:rsidR="00F53527" w:rsidRPr="00793447" w:rsidRDefault="00F53527" w:rsidP="00F53527">
      <w:pPr>
        <w:numPr>
          <w:ilvl w:val="0"/>
          <w:numId w:val="31"/>
        </w:numPr>
        <w:tabs>
          <w:tab w:val="left" w:pos="993"/>
        </w:tabs>
        <w:spacing w:after="0" w:line="240" w:lineRule="auto"/>
        <w:ind w:left="709" w:firstLine="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 xml:space="preserve">Rata anuală a inflaţiei în luna iunie 2023 comparativ cu luna iunie 2022 este 10,3%. </w:t>
      </w:r>
    </w:p>
    <w:p w:rsidR="00F53527" w:rsidRPr="00793447" w:rsidRDefault="00F53527" w:rsidP="00F53527">
      <w:pPr>
        <w:numPr>
          <w:ilvl w:val="0"/>
          <w:numId w:val="31"/>
        </w:numPr>
        <w:tabs>
          <w:tab w:val="left" w:pos="993"/>
        </w:tabs>
        <w:spacing w:after="0" w:line="240" w:lineRule="auto"/>
        <w:ind w:left="709" w:firstLine="0"/>
        <w:jc w:val="both"/>
        <w:rPr>
          <w:rFonts w:asciiTheme="majorHAnsi" w:hAnsiTheme="majorHAnsi" w:cs="Arial"/>
          <w:sz w:val="24"/>
          <w:szCs w:val="24"/>
          <w:lang w:val="ro-RO" w:eastAsia="ro-RO"/>
        </w:rPr>
      </w:pPr>
      <w:r w:rsidRPr="00793447">
        <w:rPr>
          <w:rFonts w:asciiTheme="majorHAnsi" w:hAnsiTheme="majorHAnsi" w:cs="Arial"/>
          <w:sz w:val="24"/>
          <w:szCs w:val="24"/>
          <w:lang w:val="ro-RO" w:eastAsia="ro-RO"/>
        </w:rPr>
        <w:t>Rata medie a modificării preţurilor de consum în ultimele 12 luni (iulie 2022 – iunie 2023) faţă de precedentele 12 luni (iulie 2021 – iunie 2022) este 14,2%.</w:t>
      </w:r>
    </w:p>
    <w:p w:rsidR="00F53527" w:rsidRPr="00793447" w:rsidRDefault="00F53527" w:rsidP="00F53527">
      <w:pPr>
        <w:spacing w:after="0" w:line="240" w:lineRule="auto"/>
        <w:rPr>
          <w:rFonts w:asciiTheme="majorHAnsi" w:hAnsiTheme="majorHAnsi" w:cs="Calibri"/>
          <w:b/>
          <w:sz w:val="24"/>
          <w:szCs w:val="24"/>
          <w:lang w:val="ro-RO" w:eastAsia="ro-RO"/>
        </w:rPr>
      </w:pPr>
    </w:p>
    <w:p w:rsidR="00F53527" w:rsidRPr="00793447" w:rsidRDefault="00F53527" w:rsidP="00F53527">
      <w:pPr>
        <w:spacing w:after="0" w:line="240" w:lineRule="auto"/>
        <w:jc w:val="both"/>
        <w:rPr>
          <w:rFonts w:asciiTheme="majorHAnsi" w:hAnsiTheme="majorHAnsi" w:cs="Arial"/>
          <w:bCs/>
          <w:color w:val="000000"/>
          <w:sz w:val="24"/>
          <w:szCs w:val="24"/>
          <w:lang w:val="ro-RO" w:eastAsia="ro-RO"/>
        </w:rPr>
      </w:pPr>
    </w:p>
    <w:p w:rsidR="00F53527" w:rsidRPr="00793447" w:rsidRDefault="00F53527" w:rsidP="00F53527">
      <w:pPr>
        <w:spacing w:after="0" w:line="240" w:lineRule="auto"/>
        <w:ind w:firstLine="720"/>
        <w:jc w:val="both"/>
        <w:rPr>
          <w:rFonts w:asciiTheme="majorHAnsi" w:hAnsiTheme="majorHAnsi" w:cs="Arial"/>
          <w:color w:val="000000"/>
          <w:sz w:val="24"/>
          <w:szCs w:val="24"/>
          <w:lang w:val="ro-RO" w:eastAsia="ro-RO"/>
        </w:rPr>
      </w:pPr>
    </w:p>
    <w:p w:rsidR="00F53527" w:rsidRPr="00793447" w:rsidRDefault="00F53527" w:rsidP="00F53527">
      <w:pPr>
        <w:spacing w:after="0" w:line="240" w:lineRule="auto"/>
        <w:ind w:firstLine="426"/>
        <w:jc w:val="both"/>
        <w:rPr>
          <w:rFonts w:asciiTheme="majorHAnsi" w:hAnsiTheme="majorHAnsi" w:cs="Arial"/>
          <w:b/>
          <w:color w:val="000000"/>
          <w:sz w:val="24"/>
          <w:szCs w:val="24"/>
          <w:lang w:val="ro-RO" w:eastAsia="ro-RO"/>
        </w:rPr>
      </w:pPr>
      <w:r w:rsidRPr="00793447">
        <w:rPr>
          <w:rFonts w:asciiTheme="majorHAnsi" w:hAnsiTheme="majorHAnsi" w:cs="Arial"/>
          <w:b/>
          <w:color w:val="000000"/>
          <w:sz w:val="24"/>
          <w:szCs w:val="24"/>
          <w:lang w:val="ro-RO" w:eastAsia="ro-RO"/>
        </w:rPr>
        <w:t xml:space="preserve">Indicele armonizat al preţurilor de consum (IAPC) </w:t>
      </w:r>
    </w:p>
    <w:p w:rsidR="00F53527" w:rsidRPr="00793447" w:rsidRDefault="00F53527" w:rsidP="00F53527">
      <w:pPr>
        <w:spacing w:after="0" w:line="240" w:lineRule="auto"/>
        <w:ind w:firstLine="720"/>
        <w:jc w:val="both"/>
        <w:rPr>
          <w:rFonts w:asciiTheme="majorHAnsi" w:hAnsiTheme="majorHAnsi" w:cs="Arial"/>
          <w:color w:val="000000"/>
          <w:sz w:val="24"/>
          <w:szCs w:val="24"/>
          <w:lang w:val="ro-RO" w:eastAsia="ro-RO"/>
        </w:rPr>
      </w:pPr>
    </w:p>
    <w:p w:rsidR="00F53527" w:rsidRPr="00793447" w:rsidRDefault="00F53527" w:rsidP="00F53527">
      <w:pPr>
        <w:spacing w:after="0" w:line="240" w:lineRule="auto"/>
        <w:ind w:firstLine="720"/>
        <w:jc w:val="both"/>
        <w:rPr>
          <w:rFonts w:asciiTheme="majorHAnsi" w:hAnsiTheme="majorHAnsi" w:cs="Arial"/>
          <w:color w:val="000000"/>
          <w:sz w:val="24"/>
          <w:szCs w:val="24"/>
          <w:lang w:val="ro-RO" w:eastAsia="ro-RO"/>
        </w:rPr>
      </w:pPr>
      <w:r w:rsidRPr="00793447">
        <w:rPr>
          <w:rFonts w:asciiTheme="majorHAnsi" w:hAnsiTheme="majorHAnsi" w:cs="Arial"/>
          <w:color w:val="000000"/>
          <w:sz w:val="24"/>
          <w:szCs w:val="24"/>
          <w:lang w:val="ro-RO" w:eastAsia="ro-RO"/>
        </w:rPr>
        <w:t>Indicele armonizat al prețurilor de consum (IAPC) este un set de indici ai prețurilor de consum din UE, calculat în conformitate cu o abordare armonizată și un singur set de definiții. IAPC este conceput în principal pentru evaluarea stabilității prețurilor în zona euro și a convergenței evoluției prețurilor în UE, dar și pentru comparații ale inflației la nivel european.</w:t>
      </w:r>
    </w:p>
    <w:p w:rsidR="00F53527" w:rsidRPr="00793447" w:rsidRDefault="00F53527" w:rsidP="00F53527">
      <w:pPr>
        <w:spacing w:after="0" w:line="240" w:lineRule="auto"/>
        <w:ind w:firstLine="720"/>
        <w:jc w:val="both"/>
        <w:rPr>
          <w:rFonts w:asciiTheme="majorHAnsi" w:hAnsiTheme="majorHAnsi" w:cs="Arial"/>
          <w:color w:val="000000"/>
          <w:sz w:val="24"/>
          <w:szCs w:val="24"/>
          <w:lang w:val="ro-RO" w:eastAsia="ro-RO"/>
        </w:rPr>
      </w:pPr>
    </w:p>
    <w:p w:rsidR="00F53527" w:rsidRPr="00793447" w:rsidRDefault="00F53527" w:rsidP="00F53527">
      <w:pPr>
        <w:numPr>
          <w:ilvl w:val="0"/>
          <w:numId w:val="31"/>
        </w:numPr>
        <w:spacing w:after="0" w:line="240" w:lineRule="auto"/>
        <w:jc w:val="both"/>
        <w:rPr>
          <w:rFonts w:asciiTheme="majorHAnsi" w:hAnsiTheme="majorHAnsi" w:cs="Arial"/>
          <w:color w:val="000000"/>
          <w:sz w:val="24"/>
          <w:szCs w:val="24"/>
          <w:lang w:val="ro-RO" w:eastAsia="ro-RO"/>
        </w:rPr>
      </w:pPr>
      <w:r w:rsidRPr="00793447">
        <w:rPr>
          <w:rFonts w:asciiTheme="majorHAnsi" w:hAnsiTheme="majorHAnsi" w:cs="Arial"/>
          <w:color w:val="000000"/>
          <w:sz w:val="24"/>
          <w:szCs w:val="24"/>
          <w:lang w:val="ro-RO" w:eastAsia="ro-RO"/>
        </w:rPr>
        <w:t>Indicele armonizat al preţurilor de consum în luna iunie 2023 comparativ cu luna mai 2023 este 100,47%.</w:t>
      </w:r>
    </w:p>
    <w:p w:rsidR="00F53527" w:rsidRPr="00793447" w:rsidRDefault="00F53527" w:rsidP="00F53527">
      <w:pPr>
        <w:numPr>
          <w:ilvl w:val="0"/>
          <w:numId w:val="31"/>
        </w:numPr>
        <w:spacing w:after="0" w:line="240" w:lineRule="auto"/>
        <w:jc w:val="both"/>
        <w:rPr>
          <w:rFonts w:asciiTheme="majorHAnsi" w:hAnsiTheme="majorHAnsi" w:cs="Arial"/>
          <w:color w:val="000000"/>
          <w:sz w:val="24"/>
          <w:szCs w:val="24"/>
          <w:lang w:val="ro-RO" w:eastAsia="ro-RO"/>
        </w:rPr>
      </w:pPr>
      <w:r w:rsidRPr="00793447">
        <w:rPr>
          <w:rFonts w:asciiTheme="majorHAnsi" w:hAnsiTheme="majorHAnsi" w:cs="Arial"/>
          <w:color w:val="000000"/>
          <w:sz w:val="24"/>
          <w:szCs w:val="24"/>
          <w:lang w:val="ro-RO" w:eastAsia="ro-RO"/>
        </w:rPr>
        <w:t>Rata anuală a inflaţiei în luna iunie 2023 comparativ cu luna iunie 2022 calculată pe baza indicelui armonizat al preţurilor de consum (IAPC) este 9,3%.</w:t>
      </w:r>
    </w:p>
    <w:p w:rsidR="00F53527" w:rsidRPr="00793447" w:rsidRDefault="00F53527" w:rsidP="00F53527">
      <w:pPr>
        <w:numPr>
          <w:ilvl w:val="0"/>
          <w:numId w:val="31"/>
        </w:numPr>
        <w:spacing w:after="0" w:line="240" w:lineRule="auto"/>
        <w:jc w:val="both"/>
        <w:rPr>
          <w:rFonts w:asciiTheme="majorHAnsi" w:hAnsiTheme="majorHAnsi" w:cs="Arial"/>
          <w:color w:val="000000"/>
          <w:sz w:val="24"/>
          <w:szCs w:val="24"/>
          <w:lang w:val="ro-RO" w:eastAsia="ro-RO"/>
        </w:rPr>
      </w:pPr>
      <w:r w:rsidRPr="00793447">
        <w:rPr>
          <w:rFonts w:asciiTheme="majorHAnsi" w:hAnsiTheme="majorHAnsi" w:cs="Arial"/>
          <w:color w:val="000000"/>
          <w:sz w:val="24"/>
          <w:szCs w:val="24"/>
          <w:lang w:val="ro-RO" w:eastAsia="ro-RO"/>
        </w:rPr>
        <w:t>Rata medie a modificării preţurilor de consum în ultimele 12 luni (iulie 2022 – iunie 2023) faţă de precedentele 12 luni (iulie 2021 – iunie 2022) determinată pe baza IAPC este 12,5%.</w:t>
      </w:r>
    </w:p>
    <w:p w:rsidR="00F53527" w:rsidRPr="00793447" w:rsidRDefault="00F53527" w:rsidP="00F53527">
      <w:pPr>
        <w:spacing w:after="0" w:line="240" w:lineRule="auto"/>
        <w:jc w:val="both"/>
        <w:rPr>
          <w:rFonts w:asciiTheme="majorHAnsi" w:hAnsiTheme="majorHAnsi" w:cs="Arial"/>
          <w:color w:val="FF0000"/>
          <w:sz w:val="24"/>
          <w:szCs w:val="24"/>
          <w:lang w:val="ro-RO" w:eastAsia="ro-RO"/>
        </w:rPr>
      </w:pPr>
    </w:p>
    <w:p w:rsidR="00F53527" w:rsidRPr="00793447" w:rsidRDefault="00F53527" w:rsidP="00F53527">
      <w:pPr>
        <w:spacing w:after="120" w:line="240" w:lineRule="auto"/>
        <w:jc w:val="both"/>
        <w:rPr>
          <w:rFonts w:asciiTheme="majorHAnsi" w:hAnsiTheme="majorHAnsi" w:cs="Calibri"/>
          <w:b/>
          <w:sz w:val="24"/>
          <w:szCs w:val="24"/>
          <w:lang w:val="ro-RO" w:eastAsia="ro-RO"/>
        </w:rPr>
      </w:pPr>
    </w:p>
    <w:p w:rsidR="00F53527" w:rsidRPr="00793447" w:rsidRDefault="00F53527" w:rsidP="00F53527">
      <w:pPr>
        <w:spacing w:after="120" w:line="240" w:lineRule="auto"/>
        <w:jc w:val="both"/>
        <w:rPr>
          <w:rFonts w:asciiTheme="majorHAnsi" w:hAnsiTheme="majorHAnsi" w:cs="Calibri"/>
          <w:b/>
          <w:sz w:val="24"/>
          <w:szCs w:val="24"/>
          <w:lang w:val="ro-RO" w:eastAsia="ro-RO"/>
        </w:rPr>
      </w:pPr>
      <w:r w:rsidRPr="00793447">
        <w:rPr>
          <w:rFonts w:asciiTheme="majorHAnsi" w:hAnsiTheme="majorHAnsi" w:cs="Calibri"/>
          <w:b/>
          <w:sz w:val="24"/>
          <w:szCs w:val="24"/>
          <w:lang w:val="ro-RO" w:eastAsia="ro-RO"/>
        </w:rPr>
        <w:t>Modificarea anuală a preţurilor de consum (%)</w:t>
      </w:r>
    </w:p>
    <w:p w:rsidR="00F53527" w:rsidRPr="00793447" w:rsidRDefault="00F53527" w:rsidP="00F53527">
      <w:pPr>
        <w:spacing w:after="120" w:line="240" w:lineRule="auto"/>
        <w:jc w:val="center"/>
        <w:rPr>
          <w:rFonts w:asciiTheme="majorHAnsi" w:hAnsiTheme="majorHAnsi" w:cs="Calibri"/>
          <w:b/>
          <w:sz w:val="24"/>
          <w:szCs w:val="24"/>
          <w:lang w:val="ro-RO" w:eastAsia="ro-RO"/>
        </w:rPr>
      </w:pPr>
      <w:r w:rsidRPr="00793447">
        <w:rPr>
          <w:rFonts w:asciiTheme="majorHAnsi" w:hAnsiTheme="majorHAnsi"/>
          <w:noProof/>
          <w:sz w:val="24"/>
          <w:szCs w:val="24"/>
        </w:rPr>
        <w:drawing>
          <wp:inline distT="0" distB="0" distL="0" distR="0" wp14:anchorId="46A64ED1" wp14:editId="752A916C">
            <wp:extent cx="5867528" cy="2885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4384" cy="2888461"/>
                    </a:xfrm>
                    <a:prstGeom prst="rect">
                      <a:avLst/>
                    </a:prstGeom>
                    <a:noFill/>
                    <a:ln>
                      <a:noFill/>
                    </a:ln>
                  </pic:spPr>
                </pic:pic>
              </a:graphicData>
            </a:graphic>
          </wp:inline>
        </w:drawing>
      </w:r>
      <w:r w:rsidRPr="00793447">
        <w:rPr>
          <w:rFonts w:asciiTheme="majorHAnsi" w:hAnsiTheme="majorHAnsi" w:cs="Calibri"/>
          <w:color w:val="0000FF"/>
          <w:sz w:val="24"/>
          <w:szCs w:val="24"/>
          <w:lang w:val="ro-RO" w:eastAsia="ro-RO"/>
        </w:rPr>
        <w:t xml:space="preserve">            </w:t>
      </w:r>
    </w:p>
    <w:p w:rsidR="00F53527" w:rsidRDefault="00F53527" w:rsidP="00F53527">
      <w:pPr>
        <w:spacing w:after="120" w:line="240" w:lineRule="auto"/>
        <w:jc w:val="both"/>
        <w:rPr>
          <w:rFonts w:asciiTheme="majorHAnsi" w:hAnsiTheme="majorHAnsi" w:cs="Calibri"/>
          <w:b/>
          <w:sz w:val="24"/>
          <w:szCs w:val="24"/>
          <w:lang w:val="ro-RO" w:eastAsia="ro-RO"/>
        </w:rPr>
      </w:pPr>
    </w:p>
    <w:p w:rsidR="00930B66" w:rsidRPr="00793447" w:rsidRDefault="00930B66" w:rsidP="00F53527">
      <w:pPr>
        <w:spacing w:after="120" w:line="240" w:lineRule="auto"/>
        <w:jc w:val="both"/>
        <w:rPr>
          <w:rFonts w:asciiTheme="majorHAnsi" w:hAnsiTheme="majorHAnsi" w:cs="Calibri"/>
          <w:b/>
          <w:sz w:val="24"/>
          <w:szCs w:val="24"/>
          <w:lang w:val="ro-RO" w:eastAsia="ro-RO"/>
        </w:rPr>
      </w:pPr>
    </w:p>
    <w:p w:rsidR="00F53527" w:rsidRPr="00793447" w:rsidRDefault="00F53527" w:rsidP="00F53527">
      <w:pPr>
        <w:spacing w:after="120" w:line="240" w:lineRule="auto"/>
        <w:jc w:val="both"/>
        <w:rPr>
          <w:rFonts w:asciiTheme="majorHAnsi" w:hAnsiTheme="majorHAnsi" w:cs="Calibri"/>
          <w:b/>
          <w:sz w:val="24"/>
          <w:szCs w:val="24"/>
          <w:lang w:val="ro-RO" w:eastAsia="ro-RO"/>
        </w:rPr>
      </w:pPr>
      <w:r w:rsidRPr="00793447">
        <w:rPr>
          <w:rFonts w:asciiTheme="majorHAnsi" w:hAnsiTheme="majorHAnsi" w:cs="Calibri"/>
          <w:b/>
          <w:sz w:val="24"/>
          <w:szCs w:val="24"/>
          <w:lang w:val="ro-RO" w:eastAsia="ro-RO"/>
        </w:rPr>
        <w:t>Indicele preţurilor de consum şi rata medie lunară a inflaţiei</w:t>
      </w:r>
    </w:p>
    <w:p w:rsidR="00F53527" w:rsidRPr="00793447" w:rsidRDefault="00F53527" w:rsidP="00F53527">
      <w:pPr>
        <w:spacing w:after="120" w:line="240" w:lineRule="auto"/>
        <w:jc w:val="both"/>
        <w:rPr>
          <w:rFonts w:asciiTheme="majorHAnsi" w:hAnsiTheme="majorHAnsi" w:cs="Calibri"/>
          <w:b/>
          <w:sz w:val="24"/>
          <w:szCs w:val="24"/>
          <w:lang w:val="ro-RO" w:eastAsia="ro-RO"/>
        </w:rPr>
      </w:pPr>
    </w:p>
    <w:p w:rsidR="00F53527" w:rsidRPr="00793447" w:rsidRDefault="00F53527" w:rsidP="00F53527">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right"/>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 procente –</w:t>
      </w:r>
    </w:p>
    <w:tbl>
      <w:tblPr>
        <w:tblW w:w="4894" w:type="pct"/>
        <w:tblInd w:w="108" w:type="dxa"/>
        <w:tblBorders>
          <w:top w:val="single" w:sz="6" w:space="0" w:color="548DD4"/>
          <w:left w:val="single" w:sz="6" w:space="0" w:color="548DD4"/>
          <w:bottom w:val="single" w:sz="6" w:space="0" w:color="548DD4"/>
          <w:right w:val="single" w:sz="6" w:space="0" w:color="548DD4"/>
          <w:insideH w:val="single" w:sz="6" w:space="0" w:color="548DD4"/>
          <w:insideV w:val="single" w:sz="6" w:space="0" w:color="548DD4"/>
        </w:tblBorders>
        <w:tblLook w:val="0000" w:firstRow="0" w:lastRow="0" w:firstColumn="0" w:lastColumn="0" w:noHBand="0" w:noVBand="0"/>
      </w:tblPr>
      <w:tblGrid>
        <w:gridCol w:w="2582"/>
        <w:gridCol w:w="1299"/>
        <w:gridCol w:w="1329"/>
        <w:gridCol w:w="1302"/>
        <w:gridCol w:w="1380"/>
        <w:gridCol w:w="1277"/>
      </w:tblGrid>
      <w:tr w:rsidR="00F53527" w:rsidRPr="00793447" w:rsidTr="00E33D6E">
        <w:trPr>
          <w:trHeight w:val="170"/>
        </w:trPr>
        <w:tc>
          <w:tcPr>
            <w:tcW w:w="1411" w:type="pct"/>
            <w:vMerge w:val="restar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rPr>
                <w:rFonts w:asciiTheme="majorHAnsi" w:hAnsiTheme="majorHAnsi" w:cs="Calibri"/>
                <w:color w:val="000000"/>
                <w:sz w:val="24"/>
                <w:szCs w:val="24"/>
                <w:lang w:val="ro-RO" w:eastAsia="ro-RO"/>
              </w:rPr>
            </w:pPr>
          </w:p>
        </w:tc>
        <w:tc>
          <w:tcPr>
            <w:tcW w:w="2135" w:type="pct"/>
            <w:gridSpan w:val="3"/>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b/>
                <w:color w:val="000000"/>
                <w:sz w:val="24"/>
                <w:szCs w:val="24"/>
                <w:lang w:val="ro-RO" w:eastAsia="ro-RO"/>
              </w:rPr>
              <w:t>Iunie 2023</w:t>
            </w:r>
          </w:p>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faţă de:</w:t>
            </w:r>
          </w:p>
        </w:tc>
        <w:tc>
          <w:tcPr>
            <w:tcW w:w="1454" w:type="pct"/>
            <w:gridSpan w:val="2"/>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b/>
                <w:color w:val="000000"/>
                <w:sz w:val="24"/>
                <w:szCs w:val="24"/>
                <w:lang w:val="it-IT" w:eastAsia="ro-RO"/>
              </w:rPr>
            </w:pPr>
            <w:r w:rsidRPr="00793447">
              <w:rPr>
                <w:rFonts w:asciiTheme="majorHAnsi" w:hAnsiTheme="majorHAnsi" w:cs="Calibri"/>
                <w:b/>
                <w:color w:val="000000"/>
                <w:sz w:val="24"/>
                <w:szCs w:val="24"/>
                <w:lang w:val="it-IT" w:eastAsia="ro-RO"/>
              </w:rPr>
              <w:t>Rata medie lunară a inflaţiei,</w:t>
            </w:r>
          </w:p>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it-IT" w:eastAsia="ro-RO"/>
              </w:rPr>
            </w:pPr>
            <w:r w:rsidRPr="00793447">
              <w:rPr>
                <w:rFonts w:asciiTheme="majorHAnsi" w:hAnsiTheme="majorHAnsi" w:cs="Calibri"/>
                <w:color w:val="000000"/>
                <w:sz w:val="24"/>
                <w:szCs w:val="24"/>
                <w:lang w:val="it-IT" w:eastAsia="ro-RO"/>
              </w:rPr>
              <w:t>în perioada 1 I – 30 VI</w:t>
            </w:r>
          </w:p>
        </w:tc>
      </w:tr>
      <w:tr w:rsidR="00F53527" w:rsidRPr="00793447" w:rsidTr="00E33D6E">
        <w:trPr>
          <w:trHeight w:val="170"/>
        </w:trPr>
        <w:tc>
          <w:tcPr>
            <w:tcW w:w="1411" w:type="pct"/>
            <w:vMerge/>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rPr>
                <w:rFonts w:asciiTheme="majorHAnsi" w:hAnsiTheme="majorHAnsi" w:cs="Calibri"/>
                <w:color w:val="000000"/>
                <w:sz w:val="24"/>
                <w:szCs w:val="24"/>
                <w:lang w:val="it-IT" w:eastAsia="ro-RO"/>
              </w:rPr>
            </w:pPr>
          </w:p>
        </w:tc>
        <w:tc>
          <w:tcPr>
            <w:tcW w:w="711" w:type="pc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Mai</w:t>
            </w:r>
          </w:p>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2023</w:t>
            </w:r>
          </w:p>
        </w:tc>
        <w:tc>
          <w:tcPr>
            <w:tcW w:w="711" w:type="pc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Decembrie</w:t>
            </w:r>
          </w:p>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2022</w:t>
            </w:r>
          </w:p>
        </w:tc>
        <w:tc>
          <w:tcPr>
            <w:tcW w:w="713" w:type="pc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Iunie</w:t>
            </w:r>
          </w:p>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2022</w:t>
            </w:r>
          </w:p>
        </w:tc>
        <w:tc>
          <w:tcPr>
            <w:tcW w:w="755" w:type="pc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en-GB" w:eastAsia="ro-RO"/>
              </w:rPr>
            </w:pPr>
          </w:p>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en-GB" w:eastAsia="ro-RO"/>
              </w:rPr>
            </w:pPr>
            <w:r w:rsidRPr="00793447">
              <w:rPr>
                <w:rFonts w:asciiTheme="majorHAnsi" w:hAnsiTheme="majorHAnsi" w:cs="Calibri"/>
                <w:color w:val="000000"/>
                <w:sz w:val="24"/>
                <w:szCs w:val="24"/>
                <w:lang w:val="en-GB" w:eastAsia="ro-RO"/>
              </w:rPr>
              <w:t>2023</w:t>
            </w:r>
          </w:p>
        </w:tc>
        <w:tc>
          <w:tcPr>
            <w:tcW w:w="699" w:type="pc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en-GB" w:eastAsia="ro-RO"/>
              </w:rPr>
            </w:pPr>
          </w:p>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en-GB" w:eastAsia="ro-RO"/>
              </w:rPr>
            </w:pPr>
            <w:r w:rsidRPr="00793447">
              <w:rPr>
                <w:rFonts w:asciiTheme="majorHAnsi" w:hAnsiTheme="majorHAnsi" w:cs="Calibri"/>
                <w:color w:val="000000"/>
                <w:sz w:val="24"/>
                <w:szCs w:val="24"/>
                <w:lang w:val="en-GB" w:eastAsia="ro-RO"/>
              </w:rPr>
              <w:t>2022</w:t>
            </w:r>
          </w:p>
        </w:tc>
      </w:tr>
      <w:tr w:rsidR="00F53527" w:rsidRPr="00793447" w:rsidTr="00E33D6E">
        <w:trPr>
          <w:trHeight w:val="170"/>
        </w:trPr>
        <w:tc>
          <w:tcPr>
            <w:tcW w:w="1411" w:type="pc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Mărfuri alimentare</w:t>
            </w:r>
          </w:p>
        </w:tc>
        <w:tc>
          <w:tcPr>
            <w:tcW w:w="711" w:type="pct"/>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99,90</w:t>
            </w:r>
          </w:p>
        </w:tc>
        <w:tc>
          <w:tcPr>
            <w:tcW w:w="711" w:type="pct"/>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107,23</w:t>
            </w:r>
          </w:p>
        </w:tc>
        <w:tc>
          <w:tcPr>
            <w:tcW w:w="713" w:type="pct"/>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117,88</w:t>
            </w:r>
          </w:p>
        </w:tc>
        <w:tc>
          <w:tcPr>
            <w:tcW w:w="755" w:type="pct"/>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1,2</w:t>
            </w:r>
          </w:p>
        </w:tc>
        <w:tc>
          <w:tcPr>
            <w:tcW w:w="699" w:type="pct"/>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1,8</w:t>
            </w:r>
          </w:p>
        </w:tc>
      </w:tr>
      <w:tr w:rsidR="00F53527" w:rsidRPr="00793447" w:rsidTr="00E33D6E">
        <w:trPr>
          <w:trHeight w:val="170"/>
        </w:trPr>
        <w:tc>
          <w:tcPr>
            <w:tcW w:w="1411" w:type="pct"/>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Mărfuri nealimentare</w:t>
            </w:r>
          </w:p>
        </w:tc>
        <w:tc>
          <w:tcPr>
            <w:tcW w:w="711" w:type="pct"/>
            <w:tcBorders>
              <w:bottom w:val="sing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100,62</w:t>
            </w:r>
          </w:p>
        </w:tc>
        <w:tc>
          <w:tcPr>
            <w:tcW w:w="711" w:type="pct"/>
            <w:tcBorders>
              <w:bottom w:val="sing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101,27</w:t>
            </w:r>
          </w:p>
        </w:tc>
        <w:tc>
          <w:tcPr>
            <w:tcW w:w="713" w:type="pct"/>
            <w:tcBorders>
              <w:bottom w:val="sing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104,84</w:t>
            </w:r>
          </w:p>
        </w:tc>
        <w:tc>
          <w:tcPr>
            <w:tcW w:w="755" w:type="pct"/>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0,2</w:t>
            </w:r>
          </w:p>
        </w:tc>
        <w:tc>
          <w:tcPr>
            <w:tcW w:w="699" w:type="pct"/>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1,8</w:t>
            </w:r>
          </w:p>
        </w:tc>
      </w:tr>
      <w:tr w:rsidR="00F53527" w:rsidRPr="00793447" w:rsidTr="00E33D6E">
        <w:trPr>
          <w:trHeight w:val="147"/>
        </w:trPr>
        <w:tc>
          <w:tcPr>
            <w:tcW w:w="1411" w:type="pct"/>
            <w:tcBorders>
              <w:bottom w:val="double" w:sz="4" w:space="0" w:color="8DB3E2"/>
              <w:right w:val="single" w:sz="4" w:space="0" w:color="548DD4"/>
            </w:tcBorders>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Servicii</w:t>
            </w:r>
          </w:p>
        </w:tc>
        <w:tc>
          <w:tcPr>
            <w:tcW w:w="711" w:type="pct"/>
            <w:tcBorders>
              <w:top w:val="single" w:sz="4" w:space="0" w:color="548DD4"/>
              <w:left w:val="single" w:sz="4" w:space="0" w:color="548DD4"/>
              <w:bottom w:val="double" w:sz="4" w:space="0" w:color="548DD4"/>
              <w:right w:val="sing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100,84</w:t>
            </w:r>
          </w:p>
        </w:tc>
        <w:tc>
          <w:tcPr>
            <w:tcW w:w="711" w:type="pct"/>
            <w:tcBorders>
              <w:top w:val="single" w:sz="4" w:space="0" w:color="548DD4"/>
              <w:left w:val="single" w:sz="4" w:space="0" w:color="548DD4"/>
              <w:bottom w:val="double" w:sz="4" w:space="0" w:color="548DD4"/>
              <w:right w:val="sing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106,46</w:t>
            </w:r>
          </w:p>
        </w:tc>
        <w:tc>
          <w:tcPr>
            <w:tcW w:w="713" w:type="pct"/>
            <w:tcBorders>
              <w:top w:val="single" w:sz="4" w:space="0" w:color="548DD4"/>
              <w:left w:val="single" w:sz="4" w:space="0" w:color="548DD4"/>
              <w:bottom w:val="double" w:sz="4" w:space="0" w:color="548DD4"/>
              <w:right w:val="sing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111,50</w:t>
            </w:r>
          </w:p>
        </w:tc>
        <w:tc>
          <w:tcPr>
            <w:tcW w:w="755" w:type="pct"/>
            <w:tcBorders>
              <w:left w:val="single" w:sz="4" w:space="0" w:color="548DD4"/>
              <w:bottom w:val="double" w:sz="4" w:space="0" w:color="8DB3E2"/>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1,0</w:t>
            </w:r>
          </w:p>
        </w:tc>
        <w:tc>
          <w:tcPr>
            <w:tcW w:w="699" w:type="pct"/>
            <w:tcBorders>
              <w:bottom w:val="double" w:sz="4" w:space="0" w:color="8DB3E2"/>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color w:val="000000"/>
                <w:sz w:val="24"/>
                <w:szCs w:val="24"/>
                <w:lang w:val="ro-RO" w:eastAsia="ro-RO"/>
              </w:rPr>
            </w:pPr>
            <w:r w:rsidRPr="00793447">
              <w:rPr>
                <w:rFonts w:asciiTheme="majorHAnsi" w:hAnsiTheme="majorHAnsi" w:cs="Calibri"/>
                <w:color w:val="000000"/>
                <w:sz w:val="24"/>
                <w:szCs w:val="24"/>
                <w:lang w:val="ro-RO" w:eastAsia="ro-RO"/>
              </w:rPr>
              <w:t>0,8</w:t>
            </w:r>
          </w:p>
        </w:tc>
      </w:tr>
      <w:tr w:rsidR="00F53527" w:rsidRPr="00793447" w:rsidTr="00E33D6E">
        <w:trPr>
          <w:trHeight w:val="170"/>
        </w:trPr>
        <w:tc>
          <w:tcPr>
            <w:tcW w:w="1411" w:type="pct"/>
            <w:tcBorders>
              <w:top w:val="double" w:sz="4" w:space="0" w:color="8DB3E2"/>
            </w:tcBorders>
            <w:shd w:val="clear" w:color="auto" w:fill="auto"/>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rPr>
                <w:rFonts w:asciiTheme="majorHAnsi" w:hAnsiTheme="majorHAnsi" w:cs="Calibri"/>
                <w:b/>
                <w:color w:val="000000"/>
                <w:sz w:val="24"/>
                <w:szCs w:val="24"/>
                <w:lang w:val="ro-RO" w:eastAsia="ro-RO"/>
              </w:rPr>
            </w:pPr>
            <w:r w:rsidRPr="00793447">
              <w:rPr>
                <w:rFonts w:asciiTheme="majorHAnsi" w:hAnsiTheme="majorHAnsi" w:cs="Calibri"/>
                <w:b/>
                <w:color w:val="000000"/>
                <w:sz w:val="24"/>
                <w:szCs w:val="24"/>
                <w:lang w:val="ro-RO" w:eastAsia="ro-RO"/>
              </w:rPr>
              <w:t>TOTAL</w:t>
            </w:r>
          </w:p>
        </w:tc>
        <w:tc>
          <w:tcPr>
            <w:tcW w:w="711" w:type="pct"/>
            <w:tcBorders>
              <w:top w:val="doub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b/>
                <w:bCs/>
                <w:color w:val="000000"/>
                <w:sz w:val="24"/>
                <w:szCs w:val="24"/>
                <w:lang w:val="ro-RO" w:eastAsia="ro-RO"/>
              </w:rPr>
            </w:pPr>
            <w:r w:rsidRPr="00793447">
              <w:rPr>
                <w:rFonts w:asciiTheme="majorHAnsi" w:hAnsiTheme="majorHAnsi" w:cs="Calibri"/>
                <w:b/>
                <w:bCs/>
                <w:color w:val="000000"/>
                <w:sz w:val="24"/>
                <w:szCs w:val="24"/>
                <w:lang w:val="ro-RO" w:eastAsia="ro-RO"/>
              </w:rPr>
              <w:t>100,40</w:t>
            </w:r>
          </w:p>
        </w:tc>
        <w:tc>
          <w:tcPr>
            <w:tcW w:w="711" w:type="pct"/>
            <w:tcBorders>
              <w:top w:val="doub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b/>
                <w:bCs/>
                <w:color w:val="000000"/>
                <w:sz w:val="24"/>
                <w:szCs w:val="24"/>
                <w:lang w:val="ro-RO" w:eastAsia="ro-RO"/>
              </w:rPr>
            </w:pPr>
            <w:r w:rsidRPr="00793447">
              <w:rPr>
                <w:rFonts w:asciiTheme="majorHAnsi" w:hAnsiTheme="majorHAnsi" w:cs="Calibri"/>
                <w:b/>
                <w:bCs/>
                <w:color w:val="000000"/>
                <w:sz w:val="24"/>
                <w:szCs w:val="24"/>
                <w:lang w:val="ro-RO" w:eastAsia="ro-RO"/>
              </w:rPr>
              <w:t>104,19</w:t>
            </w:r>
          </w:p>
        </w:tc>
        <w:tc>
          <w:tcPr>
            <w:tcW w:w="713" w:type="pct"/>
            <w:tcBorders>
              <w:top w:val="double" w:sz="4" w:space="0" w:color="548DD4"/>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b/>
                <w:bCs/>
                <w:color w:val="000000"/>
                <w:sz w:val="24"/>
                <w:szCs w:val="24"/>
                <w:lang w:val="ro-RO" w:eastAsia="ro-RO"/>
              </w:rPr>
            </w:pPr>
            <w:r w:rsidRPr="00793447">
              <w:rPr>
                <w:rFonts w:asciiTheme="majorHAnsi" w:hAnsiTheme="majorHAnsi" w:cs="Calibri"/>
                <w:b/>
                <w:bCs/>
                <w:color w:val="000000"/>
                <w:sz w:val="24"/>
                <w:szCs w:val="24"/>
                <w:lang w:val="ro-RO" w:eastAsia="ro-RO"/>
              </w:rPr>
              <w:t>110,25</w:t>
            </w:r>
          </w:p>
        </w:tc>
        <w:tc>
          <w:tcPr>
            <w:tcW w:w="755" w:type="pct"/>
            <w:tcBorders>
              <w:top w:val="double" w:sz="4" w:space="0" w:color="8DB3E2"/>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b/>
                <w:bCs/>
                <w:color w:val="000000"/>
                <w:sz w:val="24"/>
                <w:szCs w:val="24"/>
                <w:lang w:val="ro-RO" w:eastAsia="ro-RO"/>
              </w:rPr>
            </w:pPr>
            <w:r w:rsidRPr="00793447">
              <w:rPr>
                <w:rFonts w:asciiTheme="majorHAnsi" w:hAnsiTheme="majorHAnsi" w:cs="Calibri"/>
                <w:b/>
                <w:bCs/>
                <w:color w:val="000000"/>
                <w:sz w:val="24"/>
                <w:szCs w:val="24"/>
                <w:lang w:val="ro-RO" w:eastAsia="ro-RO"/>
              </w:rPr>
              <w:t>0,7</w:t>
            </w:r>
          </w:p>
        </w:tc>
        <w:tc>
          <w:tcPr>
            <w:tcW w:w="699" w:type="pct"/>
            <w:tcBorders>
              <w:top w:val="double" w:sz="4" w:space="0" w:color="8DB3E2"/>
            </w:tcBorders>
            <w:shd w:val="clear" w:color="auto" w:fill="auto"/>
            <w:vAlign w:val="center"/>
          </w:tcPr>
          <w:p w:rsidR="00F53527" w:rsidRPr="00793447" w:rsidRDefault="00F53527" w:rsidP="00E33D6E">
            <w:pPr>
              <w:tabs>
                <w:tab w:val="left" w:pos="695"/>
                <w:tab w:val="left" w:pos="1415"/>
                <w:tab w:val="left" w:pos="2135"/>
                <w:tab w:val="left" w:pos="2855"/>
                <w:tab w:val="left" w:pos="3575"/>
                <w:tab w:val="left" w:pos="4295"/>
                <w:tab w:val="left" w:pos="5015"/>
                <w:tab w:val="left" w:pos="5735"/>
                <w:tab w:val="left" w:pos="6455"/>
                <w:tab w:val="left" w:pos="7175"/>
                <w:tab w:val="left" w:pos="7895"/>
                <w:tab w:val="left" w:pos="8615"/>
              </w:tabs>
              <w:spacing w:before="60" w:after="60" w:line="320" w:lineRule="atLeast"/>
              <w:jc w:val="center"/>
              <w:rPr>
                <w:rFonts w:asciiTheme="majorHAnsi" w:hAnsiTheme="majorHAnsi" w:cs="Calibri"/>
                <w:b/>
                <w:bCs/>
                <w:color w:val="000000"/>
                <w:sz w:val="24"/>
                <w:szCs w:val="24"/>
                <w:lang w:val="ro-RO" w:eastAsia="ro-RO"/>
              </w:rPr>
            </w:pPr>
            <w:r w:rsidRPr="00793447">
              <w:rPr>
                <w:rFonts w:asciiTheme="majorHAnsi" w:hAnsiTheme="majorHAnsi" w:cs="Calibri"/>
                <w:b/>
                <w:bCs/>
                <w:color w:val="000000"/>
                <w:sz w:val="24"/>
                <w:szCs w:val="24"/>
                <w:lang w:val="ro-RO" w:eastAsia="ro-RO"/>
              </w:rPr>
              <w:t>1,6</w:t>
            </w:r>
          </w:p>
        </w:tc>
      </w:tr>
    </w:tbl>
    <w:p w:rsidR="00F53527" w:rsidRPr="00793447" w:rsidRDefault="00F53527" w:rsidP="00F53527">
      <w:pPr>
        <w:spacing w:after="0" w:line="220" w:lineRule="exact"/>
        <w:jc w:val="center"/>
        <w:rPr>
          <w:rFonts w:asciiTheme="majorHAnsi" w:hAnsiTheme="majorHAnsi" w:cs="Calibri"/>
          <w:b/>
          <w:sz w:val="24"/>
          <w:szCs w:val="24"/>
          <w:lang w:val="ro-RO" w:eastAsia="ro-RO"/>
        </w:rPr>
      </w:pPr>
    </w:p>
    <w:p w:rsidR="00F53527" w:rsidRDefault="00F53527" w:rsidP="00F53527">
      <w:pPr>
        <w:spacing w:after="0" w:line="220" w:lineRule="exact"/>
        <w:jc w:val="center"/>
        <w:rPr>
          <w:rFonts w:asciiTheme="majorHAnsi" w:hAnsiTheme="majorHAnsi" w:cs="Calibri"/>
          <w:b/>
          <w:sz w:val="24"/>
          <w:szCs w:val="24"/>
          <w:lang w:val="ro-RO" w:eastAsia="ro-RO"/>
        </w:rPr>
      </w:pPr>
    </w:p>
    <w:p w:rsidR="00930B66" w:rsidRDefault="00930B66" w:rsidP="00F53527">
      <w:pPr>
        <w:spacing w:after="0" w:line="220" w:lineRule="exact"/>
        <w:jc w:val="center"/>
        <w:rPr>
          <w:rFonts w:asciiTheme="majorHAnsi" w:hAnsiTheme="majorHAnsi" w:cs="Calibri"/>
          <w:b/>
          <w:sz w:val="24"/>
          <w:szCs w:val="24"/>
          <w:lang w:val="ro-RO" w:eastAsia="ro-RO"/>
        </w:rPr>
      </w:pPr>
    </w:p>
    <w:p w:rsidR="00930B66" w:rsidRDefault="00930B66" w:rsidP="00F53527">
      <w:pPr>
        <w:spacing w:after="0" w:line="220" w:lineRule="exact"/>
        <w:jc w:val="center"/>
        <w:rPr>
          <w:rFonts w:asciiTheme="majorHAnsi" w:hAnsiTheme="majorHAnsi" w:cs="Calibri"/>
          <w:b/>
          <w:sz w:val="24"/>
          <w:szCs w:val="24"/>
          <w:lang w:val="ro-RO" w:eastAsia="ro-RO"/>
        </w:rPr>
      </w:pPr>
    </w:p>
    <w:p w:rsidR="00930B66" w:rsidRDefault="00930B66" w:rsidP="00F53527">
      <w:pPr>
        <w:spacing w:after="0" w:line="220" w:lineRule="exact"/>
        <w:jc w:val="center"/>
        <w:rPr>
          <w:rFonts w:asciiTheme="majorHAnsi" w:hAnsiTheme="majorHAnsi" w:cs="Calibri"/>
          <w:b/>
          <w:sz w:val="24"/>
          <w:szCs w:val="24"/>
          <w:lang w:val="ro-RO" w:eastAsia="ro-RO"/>
        </w:rPr>
      </w:pPr>
    </w:p>
    <w:p w:rsidR="00930B66" w:rsidRDefault="00930B66" w:rsidP="00F53527">
      <w:pPr>
        <w:spacing w:after="0" w:line="220" w:lineRule="exact"/>
        <w:jc w:val="center"/>
        <w:rPr>
          <w:rFonts w:asciiTheme="majorHAnsi" w:hAnsiTheme="majorHAnsi" w:cs="Calibri"/>
          <w:b/>
          <w:sz w:val="24"/>
          <w:szCs w:val="24"/>
          <w:lang w:val="ro-RO" w:eastAsia="ro-RO"/>
        </w:rPr>
      </w:pPr>
    </w:p>
    <w:p w:rsidR="00930B66" w:rsidRPr="00793447" w:rsidRDefault="00930B66" w:rsidP="00F53527">
      <w:pPr>
        <w:spacing w:after="0" w:line="220" w:lineRule="exact"/>
        <w:jc w:val="center"/>
        <w:rPr>
          <w:rFonts w:asciiTheme="majorHAnsi" w:hAnsiTheme="majorHAnsi" w:cs="Calibri"/>
          <w:b/>
          <w:sz w:val="24"/>
          <w:szCs w:val="24"/>
          <w:lang w:val="ro-RO" w:eastAsia="ro-RO"/>
        </w:rPr>
      </w:pPr>
      <w:bookmarkStart w:id="8" w:name="_GoBack"/>
      <w:bookmarkEnd w:id="8"/>
    </w:p>
    <w:p w:rsidR="00F53527" w:rsidRPr="00793447" w:rsidRDefault="00F53527" w:rsidP="00F53527">
      <w:pPr>
        <w:spacing w:after="0" w:line="220" w:lineRule="exact"/>
        <w:jc w:val="center"/>
        <w:rPr>
          <w:rFonts w:asciiTheme="majorHAnsi" w:hAnsiTheme="majorHAnsi" w:cs="Calibri"/>
          <w:b/>
          <w:sz w:val="24"/>
          <w:szCs w:val="24"/>
          <w:lang w:val="ro-RO" w:eastAsia="ro-RO"/>
        </w:rPr>
      </w:pPr>
    </w:p>
    <w:p w:rsidR="00F53527" w:rsidRPr="00793447" w:rsidRDefault="00F53527" w:rsidP="00F53527">
      <w:pPr>
        <w:spacing w:after="0" w:line="220" w:lineRule="exact"/>
        <w:jc w:val="center"/>
        <w:rPr>
          <w:rFonts w:asciiTheme="majorHAnsi" w:hAnsiTheme="majorHAnsi" w:cs="Calibri"/>
          <w:b/>
          <w:sz w:val="24"/>
          <w:szCs w:val="24"/>
          <w:lang w:val="ro-RO" w:eastAsia="ro-RO"/>
        </w:rPr>
      </w:pPr>
      <w:r w:rsidRPr="00793447">
        <w:rPr>
          <w:rFonts w:asciiTheme="majorHAnsi" w:hAnsiTheme="majorHAnsi" w:cs="Calibri"/>
          <w:b/>
          <w:sz w:val="24"/>
          <w:szCs w:val="24"/>
          <w:lang w:val="ro-RO" w:eastAsia="ro-RO"/>
        </w:rPr>
        <w:t>INDICELE PREŢURILOR DE CONSUM ÎN LUNA IUNIE 2023</w:t>
      </w:r>
    </w:p>
    <w:p w:rsidR="00F53527" w:rsidRPr="00793447" w:rsidRDefault="00F53527" w:rsidP="00F53527">
      <w:pPr>
        <w:spacing w:after="0" w:line="240" w:lineRule="auto"/>
        <w:jc w:val="center"/>
        <w:rPr>
          <w:rFonts w:asciiTheme="majorHAnsi" w:hAnsiTheme="majorHAnsi" w:cs="Calibri"/>
          <w:b/>
          <w:sz w:val="24"/>
          <w:szCs w:val="24"/>
          <w:lang w:val="ro-RO" w:eastAsia="ro-RO"/>
        </w:rPr>
      </w:pPr>
      <w:r w:rsidRPr="00793447">
        <w:rPr>
          <w:rFonts w:asciiTheme="majorHAnsi" w:hAnsiTheme="majorHAnsi" w:cs="Calibri"/>
          <w:b/>
          <w:sz w:val="24"/>
          <w:szCs w:val="24"/>
          <w:lang w:val="ro-RO" w:eastAsia="ro-RO"/>
        </w:rPr>
        <w:t>LA PRINCIPALELE MĂRFURI ŞI SERVICII</w:t>
      </w:r>
    </w:p>
    <w:p w:rsidR="00F53527" w:rsidRPr="00793447" w:rsidRDefault="00F53527" w:rsidP="00F53527">
      <w:pPr>
        <w:spacing w:after="0" w:line="240" w:lineRule="auto"/>
        <w:jc w:val="center"/>
        <w:rPr>
          <w:rFonts w:asciiTheme="majorHAnsi" w:hAnsiTheme="majorHAnsi" w:cs="Calibri"/>
          <w:b/>
          <w:sz w:val="24"/>
          <w:szCs w:val="24"/>
          <w:lang w:val="ro-RO" w:eastAsia="ro-RO"/>
        </w:rPr>
      </w:pPr>
    </w:p>
    <w:tbl>
      <w:tblPr>
        <w:tblW w:w="4867" w:type="pct"/>
        <w:tblLook w:val="04A0" w:firstRow="1" w:lastRow="0" w:firstColumn="1" w:lastColumn="0" w:noHBand="0" w:noVBand="1"/>
      </w:tblPr>
      <w:tblGrid>
        <w:gridCol w:w="5540"/>
        <w:gridCol w:w="1145"/>
        <w:gridCol w:w="1422"/>
        <w:gridCol w:w="983"/>
      </w:tblGrid>
      <w:tr w:rsidR="00F53527" w:rsidRPr="00793447" w:rsidTr="00E33D6E">
        <w:trPr>
          <w:trHeight w:val="170"/>
          <w:tblHeader/>
        </w:trPr>
        <w:tc>
          <w:tcPr>
            <w:tcW w:w="3063" w:type="pct"/>
            <w:vMerge w:val="restart"/>
            <w:tcBorders>
              <w:top w:val="double" w:sz="6" w:space="0" w:color="548DD4"/>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Denumirea mărfurilor/serviciilor</w:t>
            </w:r>
          </w:p>
        </w:tc>
        <w:tc>
          <w:tcPr>
            <w:tcW w:w="1937" w:type="pct"/>
            <w:gridSpan w:val="3"/>
            <w:tcBorders>
              <w:top w:val="double" w:sz="6" w:space="0" w:color="548DD4"/>
              <w:left w:val="nil"/>
              <w:bottom w:val="nil"/>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Iunie 2023</w:t>
            </w:r>
          </w:p>
        </w:tc>
      </w:tr>
      <w:tr w:rsidR="00F53527" w:rsidRPr="00793447" w:rsidTr="00E33D6E">
        <w:trPr>
          <w:trHeight w:val="35"/>
          <w:tblHeader/>
        </w:trPr>
        <w:tc>
          <w:tcPr>
            <w:tcW w:w="3063" w:type="pct"/>
            <w:vMerge/>
            <w:tcBorders>
              <w:top w:val="double" w:sz="6" w:space="0" w:color="548DD4"/>
              <w:left w:val="double" w:sz="6" w:space="0" w:color="548DD4"/>
              <w:bottom w:val="single" w:sz="8" w:space="0" w:color="548DD4"/>
              <w:right w:val="single" w:sz="8" w:space="0" w:color="548DD4"/>
            </w:tcBorders>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p>
        </w:tc>
        <w:tc>
          <w:tcPr>
            <w:tcW w:w="1937" w:type="pct"/>
            <w:gridSpan w:val="3"/>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faţă de:</w:t>
            </w:r>
          </w:p>
        </w:tc>
      </w:tr>
      <w:tr w:rsidR="00F53527" w:rsidRPr="00793447" w:rsidTr="00E33D6E">
        <w:trPr>
          <w:trHeight w:val="170"/>
          <w:tblHeader/>
        </w:trPr>
        <w:tc>
          <w:tcPr>
            <w:tcW w:w="3063" w:type="pct"/>
            <w:vMerge/>
            <w:tcBorders>
              <w:top w:val="double" w:sz="6" w:space="0" w:color="548DD4"/>
              <w:left w:val="double" w:sz="6" w:space="0" w:color="548DD4"/>
              <w:bottom w:val="single" w:sz="8" w:space="0" w:color="548DD4"/>
              <w:right w:val="single" w:sz="8" w:space="0" w:color="548DD4"/>
            </w:tcBorders>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p>
        </w:tc>
        <w:tc>
          <w:tcPr>
            <w:tcW w:w="646" w:type="pct"/>
            <w:tcBorders>
              <w:top w:val="nil"/>
              <w:left w:val="nil"/>
              <w:bottom w:val="nil"/>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 xml:space="preserve"> Mai</w:t>
            </w:r>
          </w:p>
        </w:tc>
        <w:tc>
          <w:tcPr>
            <w:tcW w:w="738" w:type="pct"/>
            <w:tcBorders>
              <w:top w:val="nil"/>
              <w:left w:val="nil"/>
              <w:bottom w:val="nil"/>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Decembrie</w:t>
            </w:r>
          </w:p>
        </w:tc>
        <w:tc>
          <w:tcPr>
            <w:tcW w:w="553" w:type="pct"/>
            <w:tcBorders>
              <w:top w:val="nil"/>
              <w:left w:val="nil"/>
              <w:bottom w:val="nil"/>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Iunie</w:t>
            </w:r>
          </w:p>
        </w:tc>
      </w:tr>
      <w:tr w:rsidR="00F53527" w:rsidRPr="00793447" w:rsidTr="00E33D6E">
        <w:trPr>
          <w:trHeight w:val="170"/>
          <w:tblHeader/>
        </w:trPr>
        <w:tc>
          <w:tcPr>
            <w:tcW w:w="3063" w:type="pct"/>
            <w:vMerge/>
            <w:tcBorders>
              <w:top w:val="double" w:sz="6" w:space="0" w:color="548DD4"/>
              <w:left w:val="double" w:sz="6" w:space="0" w:color="548DD4"/>
              <w:bottom w:val="single" w:sz="8" w:space="0" w:color="548DD4"/>
              <w:right w:val="single" w:sz="8" w:space="0" w:color="548DD4"/>
            </w:tcBorders>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p>
        </w:tc>
        <w:tc>
          <w:tcPr>
            <w:tcW w:w="646" w:type="pct"/>
            <w:tcBorders>
              <w:top w:val="nil"/>
              <w:left w:val="nil"/>
              <w:bottom w:val="nil"/>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2023</w:t>
            </w:r>
          </w:p>
        </w:tc>
        <w:tc>
          <w:tcPr>
            <w:tcW w:w="738" w:type="pct"/>
            <w:tcBorders>
              <w:top w:val="nil"/>
              <w:left w:val="nil"/>
              <w:bottom w:val="nil"/>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2022</w:t>
            </w:r>
          </w:p>
        </w:tc>
        <w:tc>
          <w:tcPr>
            <w:tcW w:w="553" w:type="pct"/>
            <w:tcBorders>
              <w:top w:val="nil"/>
              <w:left w:val="nil"/>
              <w:bottom w:val="nil"/>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2022</w:t>
            </w:r>
          </w:p>
        </w:tc>
      </w:tr>
      <w:tr w:rsidR="00F53527" w:rsidRPr="00793447" w:rsidTr="00E33D6E">
        <w:trPr>
          <w:trHeight w:val="35"/>
          <w:tblHeader/>
        </w:trPr>
        <w:tc>
          <w:tcPr>
            <w:tcW w:w="3063" w:type="pct"/>
            <w:vMerge/>
            <w:tcBorders>
              <w:top w:val="double" w:sz="6" w:space="0" w:color="548DD4"/>
              <w:left w:val="double" w:sz="6" w:space="0" w:color="548DD4"/>
              <w:bottom w:val="single" w:sz="8" w:space="0" w:color="548DD4"/>
              <w:right w:val="single" w:sz="8" w:space="0" w:color="548DD4"/>
            </w:tcBorders>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 xml:space="preserve"> %</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TOTAL</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100,40</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104,19</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110,25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TOTAL MĂRFURI ALIMENTARE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99,90</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107,23</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117,88</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Produse de morărit şi panificaţie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100,59</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104,97</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114,82</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Legume şi conserve de legume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96,31</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119,79</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128,7</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Fructe şi conserve din fructe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97,95</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109,75</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115,86</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Ulei, slănină, grăsimi</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97,76</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89,68</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95,17</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Carne, preparate şi conserve din carne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101,53</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107,18</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115,03</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Peşte şi conserve din peşte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100,83</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110,59</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120,66</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Lapte şi produse lactate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99,46</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103,28</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121,65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Ouă</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99,51</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100,66</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129,05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Zahăr, produse zaharoase şi miere de albine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100,32</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105,12</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122,83</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Cacao şi cafea</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100,9</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105,98</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Băuturi alcoolice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101,12</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109,59</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114,94</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Alte produse alimentare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100,66</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109,54</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118,22</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TOTAL MĂRFURI NEALIMENTARE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100,62</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101,27</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104,84</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Îmbrăcăminte, articole de galanterie, pasmanterie şi mercerie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101,19</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105,42</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111,05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Încălţăminte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101,17</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105,52</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111,18</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Produse de uz casnic, mobilă</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100,41</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103,43</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107,64</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Articole chimice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101,5</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107,84</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114,15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Produse cultural-sportive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101,15</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104,2</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109,21</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Articole de igienă, cosmetice şi medicale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100,99</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101,78</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106,22</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Combustibili</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101,25</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99,83</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89,22</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Tutun, ţigări</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104,76</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107,5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Energie electrică, gaze şi încălzire centrală</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99,36</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93,3</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107,11</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Alte mărfuri nealimentare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100,62</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107,29</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115,43</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TOTAL SERVICII</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100,84</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106,46</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b/>
                <w:bCs/>
                <w:color w:val="000000"/>
                <w:sz w:val="24"/>
                <w:szCs w:val="24"/>
              </w:rPr>
            </w:pPr>
            <w:r w:rsidRPr="00793447">
              <w:rPr>
                <w:rFonts w:asciiTheme="majorHAnsi" w:hAnsiTheme="majorHAnsi" w:cstheme="minorHAnsi"/>
                <w:b/>
                <w:bCs/>
                <w:color w:val="000000"/>
                <w:sz w:val="24"/>
                <w:szCs w:val="24"/>
                <w:lang w:val="ro-RO"/>
              </w:rPr>
              <w:t>111,5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Confecţionat şi reparat îmbrăcăminte şi încălţăminte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101,22</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109,04</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114,73</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Chirie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100,64</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105,32</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110,23</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Apă, canal, salubritate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100,88</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114,22</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121,46</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Cinematografe, teatre, muzee, cheltuieli cu învăţământul şi turismul</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101,39</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105,68</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111,45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Reparaţii auto, electronice şi lucrări foto</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100,96</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107,07</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114,25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Îngrijire medicală</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101,09</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108,44</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114,52</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Igienă şi cosmetică</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101,3</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109,31</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117,34</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Transport urban</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100,29</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100,9</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106,01</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Transport interurban (alte feluri de transport)</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100,04</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104,21</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112,11</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Poştă şi telecomunicaţii</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100,33</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102,01</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102,03</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Restaurante, cafenele, cantine</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100,93</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108,58</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115,95</w:t>
            </w:r>
          </w:p>
        </w:tc>
      </w:tr>
      <w:tr w:rsidR="00F53527" w:rsidRPr="00793447" w:rsidTr="00E33D6E">
        <w:trPr>
          <w:trHeight w:val="170"/>
        </w:trPr>
        <w:tc>
          <w:tcPr>
            <w:tcW w:w="3063" w:type="pct"/>
            <w:tcBorders>
              <w:top w:val="nil"/>
              <w:left w:val="double" w:sz="6" w:space="0" w:color="548DD4"/>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Alte servicii cu caracter industrial</w:t>
            </w:r>
          </w:p>
        </w:tc>
        <w:tc>
          <w:tcPr>
            <w:tcW w:w="646"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101,37</w:t>
            </w:r>
          </w:p>
        </w:tc>
        <w:tc>
          <w:tcPr>
            <w:tcW w:w="738" w:type="pct"/>
            <w:tcBorders>
              <w:top w:val="nil"/>
              <w:left w:val="nil"/>
              <w:bottom w:val="single" w:sz="8"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106,86</w:t>
            </w:r>
          </w:p>
        </w:tc>
        <w:tc>
          <w:tcPr>
            <w:tcW w:w="553" w:type="pct"/>
            <w:tcBorders>
              <w:top w:val="nil"/>
              <w:left w:val="nil"/>
              <w:bottom w:val="single" w:sz="8"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116,32</w:t>
            </w:r>
          </w:p>
        </w:tc>
      </w:tr>
      <w:tr w:rsidR="00F53527" w:rsidRPr="00793447" w:rsidTr="00E33D6E">
        <w:trPr>
          <w:trHeight w:val="170"/>
        </w:trPr>
        <w:tc>
          <w:tcPr>
            <w:tcW w:w="3063" w:type="pct"/>
            <w:tcBorders>
              <w:top w:val="nil"/>
              <w:left w:val="double" w:sz="6" w:space="0" w:color="548DD4"/>
              <w:bottom w:val="double" w:sz="6" w:space="0" w:color="548DD4"/>
              <w:right w:val="single" w:sz="8" w:space="0" w:color="548DD4"/>
            </w:tcBorders>
            <w:shd w:val="clear" w:color="auto" w:fill="auto"/>
            <w:vAlign w:val="center"/>
            <w:hideMark/>
          </w:tcPr>
          <w:p w:rsidR="00F53527" w:rsidRPr="00793447" w:rsidRDefault="00F53527" w:rsidP="00E33D6E">
            <w:pPr>
              <w:spacing w:after="0" w:line="240" w:lineRule="auto"/>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Alte servicii</w:t>
            </w:r>
          </w:p>
        </w:tc>
        <w:tc>
          <w:tcPr>
            <w:tcW w:w="646" w:type="pct"/>
            <w:tcBorders>
              <w:top w:val="nil"/>
              <w:left w:val="nil"/>
              <w:bottom w:val="double" w:sz="6"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101,12</w:t>
            </w:r>
          </w:p>
        </w:tc>
        <w:tc>
          <w:tcPr>
            <w:tcW w:w="738" w:type="pct"/>
            <w:tcBorders>
              <w:top w:val="nil"/>
              <w:left w:val="nil"/>
              <w:bottom w:val="double" w:sz="6" w:space="0" w:color="548DD4"/>
              <w:right w:val="single" w:sz="8"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104,4</w:t>
            </w:r>
          </w:p>
        </w:tc>
        <w:tc>
          <w:tcPr>
            <w:tcW w:w="553" w:type="pct"/>
            <w:tcBorders>
              <w:top w:val="nil"/>
              <w:left w:val="nil"/>
              <w:bottom w:val="double" w:sz="6" w:space="0" w:color="548DD4"/>
              <w:right w:val="double" w:sz="6" w:space="0" w:color="548DD4"/>
            </w:tcBorders>
            <w:shd w:val="clear" w:color="auto" w:fill="auto"/>
            <w:vAlign w:val="center"/>
            <w:hideMark/>
          </w:tcPr>
          <w:p w:rsidR="00F53527" w:rsidRPr="00793447" w:rsidRDefault="00F53527" w:rsidP="00E33D6E">
            <w:pPr>
              <w:spacing w:after="0" w:line="240" w:lineRule="auto"/>
              <w:jc w:val="center"/>
              <w:rPr>
                <w:rFonts w:asciiTheme="majorHAnsi" w:hAnsiTheme="majorHAnsi" w:cstheme="minorHAnsi"/>
                <w:color w:val="000000"/>
                <w:sz w:val="24"/>
                <w:szCs w:val="24"/>
              </w:rPr>
            </w:pPr>
            <w:r w:rsidRPr="00793447">
              <w:rPr>
                <w:rFonts w:asciiTheme="majorHAnsi" w:hAnsiTheme="majorHAnsi" w:cstheme="minorHAnsi"/>
                <w:color w:val="000000"/>
                <w:sz w:val="24"/>
                <w:szCs w:val="24"/>
                <w:lang w:val="ro-RO"/>
              </w:rPr>
              <w:t>112,2</w:t>
            </w:r>
          </w:p>
        </w:tc>
      </w:tr>
    </w:tbl>
    <w:p w:rsidR="00F53527" w:rsidRPr="00793447" w:rsidRDefault="00F53527" w:rsidP="00F53527">
      <w:pPr>
        <w:tabs>
          <w:tab w:val="left" w:pos="-180"/>
        </w:tabs>
        <w:autoSpaceDE w:val="0"/>
        <w:autoSpaceDN w:val="0"/>
        <w:adjustRightInd w:val="0"/>
        <w:ind w:right="312"/>
        <w:jc w:val="both"/>
        <w:rPr>
          <w:rFonts w:asciiTheme="majorHAnsi" w:hAnsiTheme="majorHAnsi" w:cs="Calibri"/>
          <w:sz w:val="24"/>
          <w:szCs w:val="24"/>
        </w:rPr>
      </w:pPr>
      <w:r w:rsidRPr="00793447">
        <w:rPr>
          <w:rFonts w:asciiTheme="majorHAnsi" w:hAnsiTheme="majorHAnsi" w:cs="Arial"/>
          <w:sz w:val="24"/>
          <w:szCs w:val="24"/>
          <w:vertAlign w:val="superscript"/>
        </w:rPr>
        <w:t xml:space="preserve">***) </w:t>
      </w:r>
      <w:r w:rsidRPr="00793447">
        <w:rPr>
          <w:rFonts w:asciiTheme="majorHAnsi" w:hAnsiTheme="majorHAnsi" w:cs="Arial"/>
          <w:sz w:val="24"/>
          <w:szCs w:val="24"/>
        </w:rPr>
        <w:t>Începând cu 01 ianuarie 2023 s-au luat în considerare noile preţuri finale facturate plafonate</w:t>
      </w:r>
      <w:r w:rsidRPr="00793447">
        <w:rPr>
          <w:rFonts w:asciiTheme="majorHAnsi" w:hAnsiTheme="majorHAnsi" w:cs="Calibri"/>
          <w:sz w:val="24"/>
          <w:szCs w:val="24"/>
        </w:rPr>
        <w:t xml:space="preserve"> conform prevederilor O.U.G. nr. 27/2022, cu modificările şi completările ulterioare.  </w:t>
      </w:r>
    </w:p>
    <w:p w:rsidR="007D242F" w:rsidRPr="00793447" w:rsidRDefault="007D242F" w:rsidP="00633965">
      <w:pPr>
        <w:spacing w:after="0" w:line="240" w:lineRule="auto"/>
        <w:ind w:left="4395"/>
        <w:jc w:val="center"/>
        <w:rPr>
          <w:rFonts w:asciiTheme="majorHAnsi" w:hAnsiTheme="majorHAnsi"/>
          <w:color w:val="FF0000"/>
          <w:sz w:val="24"/>
          <w:szCs w:val="24"/>
        </w:rPr>
      </w:pPr>
    </w:p>
    <w:p w:rsidR="008A543F" w:rsidRPr="00793447" w:rsidRDefault="008A543F" w:rsidP="00633965">
      <w:pPr>
        <w:spacing w:after="0" w:line="240" w:lineRule="auto"/>
        <w:ind w:left="4395"/>
        <w:jc w:val="center"/>
        <w:rPr>
          <w:rFonts w:asciiTheme="majorHAnsi" w:hAnsiTheme="majorHAnsi"/>
          <w:sz w:val="24"/>
          <w:szCs w:val="24"/>
        </w:rPr>
      </w:pPr>
    </w:p>
    <w:p w:rsidR="00617E79" w:rsidRPr="00793447" w:rsidRDefault="00617E79" w:rsidP="00633965">
      <w:pPr>
        <w:spacing w:after="0" w:line="240" w:lineRule="auto"/>
        <w:ind w:left="4395"/>
        <w:jc w:val="center"/>
        <w:rPr>
          <w:rFonts w:asciiTheme="majorHAnsi" w:hAnsiTheme="majorHAnsi"/>
          <w:sz w:val="24"/>
          <w:szCs w:val="24"/>
        </w:rPr>
      </w:pPr>
      <w:r w:rsidRPr="00793447">
        <w:rPr>
          <w:rFonts w:asciiTheme="majorHAnsi" w:hAnsiTheme="majorHAnsi"/>
          <w:sz w:val="24"/>
          <w:szCs w:val="24"/>
        </w:rPr>
        <w:t>DIRECTOR EXECUTIV,</w:t>
      </w:r>
    </w:p>
    <w:p w:rsidR="006A0308" w:rsidRPr="00793447" w:rsidRDefault="00617E79" w:rsidP="00633965">
      <w:pPr>
        <w:spacing w:after="0" w:line="240" w:lineRule="auto"/>
        <w:ind w:left="4395"/>
        <w:jc w:val="center"/>
        <w:rPr>
          <w:rFonts w:asciiTheme="majorHAnsi" w:hAnsiTheme="majorHAnsi"/>
          <w:sz w:val="24"/>
          <w:szCs w:val="24"/>
          <w:lang w:val="pt-BR"/>
        </w:rPr>
      </w:pPr>
      <w:r w:rsidRPr="00793447">
        <w:rPr>
          <w:rFonts w:asciiTheme="majorHAnsi" w:hAnsiTheme="majorHAnsi"/>
          <w:sz w:val="24"/>
          <w:szCs w:val="24"/>
          <w:lang w:val="pt-BR"/>
        </w:rPr>
        <w:t>Ec. Mirela Dobric</w:t>
      </w:r>
      <w:r w:rsidRPr="00793447">
        <w:rPr>
          <w:rFonts w:asciiTheme="majorHAnsi" w:hAnsiTheme="majorHAnsi"/>
          <w:sz w:val="24"/>
          <w:szCs w:val="24"/>
          <w:lang w:val="ro-RO"/>
        </w:rPr>
        <w:t>ă</w:t>
      </w:r>
      <w:r w:rsidRPr="00793447">
        <w:rPr>
          <w:rFonts w:asciiTheme="majorHAnsi" w:hAnsiTheme="majorHAnsi"/>
          <w:sz w:val="24"/>
          <w:szCs w:val="24"/>
          <w:lang w:val="pt-BR"/>
        </w:rPr>
        <w:t xml:space="preserve"> </w:t>
      </w:r>
    </w:p>
    <w:p w:rsidR="003B7DAA" w:rsidRPr="00793447" w:rsidRDefault="001C16BF" w:rsidP="00633965">
      <w:pPr>
        <w:spacing w:after="0" w:line="240" w:lineRule="auto"/>
        <w:ind w:left="4395"/>
        <w:jc w:val="center"/>
        <w:rPr>
          <w:rFonts w:asciiTheme="majorHAnsi" w:hAnsiTheme="majorHAnsi"/>
          <w:sz w:val="24"/>
          <w:szCs w:val="24"/>
        </w:rPr>
      </w:pPr>
      <w:r w:rsidRPr="00793447">
        <w:rPr>
          <w:rFonts w:asciiTheme="majorHAnsi" w:hAnsiTheme="majorHAnsi"/>
          <w:sz w:val="24"/>
          <w:szCs w:val="24"/>
        </w:rPr>
        <w:t xml:space="preserve"> </w:t>
      </w:r>
    </w:p>
    <w:sectPr w:rsidR="003B7DAA" w:rsidRPr="00793447" w:rsidSect="00C26936">
      <w:footerReference w:type="even" r:id="rId51"/>
      <w:footerReference w:type="default" r:id="rId52"/>
      <w:type w:val="continuous"/>
      <w:pgSz w:w="11907" w:h="16840" w:code="9"/>
      <w:pgMar w:top="851" w:right="992" w:bottom="851" w:left="1134" w:header="709" w:footer="709" w:gutter="39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94F" w:rsidRDefault="006E194F" w:rsidP="00431589">
      <w:pPr>
        <w:spacing w:after="0" w:line="240" w:lineRule="auto"/>
      </w:pPr>
      <w:r>
        <w:separator/>
      </w:r>
    </w:p>
  </w:endnote>
  <w:endnote w:type="continuationSeparator" w:id="0">
    <w:p w:rsidR="006E194F" w:rsidRDefault="006E194F" w:rsidP="00431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BoldItalic CE">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BoldItalic">
    <w:altName w:val="Times New Roman"/>
    <w:panose1 w:val="00000000000000000000"/>
    <w:charset w:val="00"/>
    <w:family w:val="roman"/>
    <w:notTrueType/>
    <w:pitch w:val="default"/>
    <w:sig w:usb0="00000003" w:usb1="00000000" w:usb2="00000000" w:usb3="00000000" w:csb0="00000001" w:csb1="00000000"/>
  </w:font>
  <w:font w:name="ArialMT CE">
    <w:altName w:val="Times New Roman"/>
    <w:panose1 w:val="00000000000000000000"/>
    <w:charset w:val="EE"/>
    <w:family w:val="swiss"/>
    <w:notTrueType/>
    <w:pitch w:val="default"/>
    <w:sig w:usb0="00000005" w:usb1="00000000" w:usb2="00000000" w:usb3="00000000" w:csb0="00000002" w:csb1="00000000"/>
  </w:font>
  <w:font w:name="Arial-BoldMT">
    <w:altName w:val="Times New Roman"/>
    <w:panose1 w:val="00000000000000000000"/>
    <w:charset w:val="EE"/>
    <w:family w:val="auto"/>
    <w:notTrueType/>
    <w:pitch w:val="default"/>
    <w:sig w:usb0="00000005" w:usb1="00000000" w:usb2="00000000" w:usb3="00000000" w:csb0="00000002" w:csb1="00000000"/>
  </w:font>
  <w:font w:name="Calibri-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Bold">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rsidP="00E861EE">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rsidR="00793447" w:rsidRDefault="00793447" w:rsidP="00E861E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pPr>
      <w:pStyle w:val="Footer"/>
      <w:jc w:val="center"/>
    </w:pPr>
    <w:r>
      <w:fldChar w:fldCharType="begin"/>
    </w:r>
    <w:r>
      <w:instrText xml:space="preserve"> PAGE   \* MERGEFORMAT </w:instrText>
    </w:r>
    <w:r>
      <w:fldChar w:fldCharType="separate"/>
    </w:r>
    <w:r w:rsidR="00930B66">
      <w:rPr>
        <w:noProof/>
      </w:rPr>
      <w:t>10</w:t>
    </w:r>
    <w:r>
      <w:rPr>
        <w:noProof/>
      </w:rPr>
      <w:fldChar w:fldCharType="end"/>
    </w:r>
  </w:p>
  <w:p w:rsidR="00793447" w:rsidRDefault="00793447" w:rsidP="00E861E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036151"/>
      <w:docPartObj>
        <w:docPartGallery w:val="Page Numbers (Bottom of Page)"/>
        <w:docPartUnique/>
      </w:docPartObj>
    </w:sdtPr>
    <w:sdtEndPr>
      <w:rPr>
        <w:noProof/>
      </w:rPr>
    </w:sdtEndPr>
    <w:sdtContent>
      <w:p w:rsidR="00E469EC" w:rsidRDefault="00E469EC">
        <w:pPr>
          <w:pStyle w:val="Footer"/>
          <w:jc w:val="center"/>
        </w:pPr>
        <w:r>
          <w:fldChar w:fldCharType="begin"/>
        </w:r>
        <w:r>
          <w:instrText xml:space="preserve"> PAGE   \* MERGEFORMAT </w:instrText>
        </w:r>
        <w:r>
          <w:fldChar w:fldCharType="separate"/>
        </w:r>
        <w:r w:rsidR="006E194F">
          <w:rPr>
            <w:noProof/>
          </w:rPr>
          <w:t>0</w:t>
        </w:r>
        <w:r>
          <w:rPr>
            <w:noProof/>
          </w:rPr>
          <w:fldChar w:fldCharType="end"/>
        </w:r>
      </w:p>
    </w:sdtContent>
  </w:sdt>
  <w:p w:rsidR="00E469EC" w:rsidRDefault="00E469E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rsidP="00E861EE">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rsidR="00793447" w:rsidRDefault="00793447" w:rsidP="00E861EE">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pPr>
      <w:pStyle w:val="Footer"/>
      <w:jc w:val="center"/>
    </w:pPr>
    <w:r>
      <w:fldChar w:fldCharType="begin"/>
    </w:r>
    <w:r>
      <w:instrText xml:space="preserve"> PAGE   \* MERGEFORMAT </w:instrText>
    </w:r>
    <w:r>
      <w:fldChar w:fldCharType="separate"/>
    </w:r>
    <w:r w:rsidR="00930B66">
      <w:rPr>
        <w:noProof/>
      </w:rPr>
      <w:t>17</w:t>
    </w:r>
    <w:r>
      <w:rPr>
        <w:noProof/>
      </w:rPr>
      <w:fldChar w:fldCharType="end"/>
    </w:r>
  </w:p>
  <w:p w:rsidR="00793447" w:rsidRDefault="00793447" w:rsidP="00E861EE">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rsidP="00AE2D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3447" w:rsidRDefault="00793447" w:rsidP="00947AAF">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pPr>
      <w:pStyle w:val="Footer"/>
      <w:jc w:val="center"/>
    </w:pPr>
    <w:r>
      <w:fldChar w:fldCharType="begin"/>
    </w:r>
    <w:r>
      <w:instrText xml:space="preserve"> PAGE   \* MERGEFORMAT </w:instrText>
    </w:r>
    <w:r>
      <w:fldChar w:fldCharType="separate"/>
    </w:r>
    <w:r w:rsidR="00930B66">
      <w:rPr>
        <w:noProof/>
      </w:rPr>
      <w:t>33</w:t>
    </w:r>
    <w:r>
      <w:rPr>
        <w:noProof/>
      </w:rPr>
      <w:fldChar w:fldCharType="end"/>
    </w:r>
  </w:p>
  <w:p w:rsidR="00793447" w:rsidRDefault="00793447" w:rsidP="00947AA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94F" w:rsidRDefault="006E194F" w:rsidP="00431589">
      <w:pPr>
        <w:spacing w:after="0" w:line="240" w:lineRule="auto"/>
      </w:pPr>
      <w:r>
        <w:separator/>
      </w:r>
    </w:p>
  </w:footnote>
  <w:footnote w:type="continuationSeparator" w:id="0">
    <w:p w:rsidR="006E194F" w:rsidRDefault="006E194F" w:rsidP="00431589">
      <w:pPr>
        <w:spacing w:after="0" w:line="240" w:lineRule="auto"/>
      </w:pPr>
      <w:r>
        <w:continuationSeparator/>
      </w:r>
    </w:p>
  </w:footnote>
  <w:footnote w:id="1">
    <w:p w:rsidR="00793447" w:rsidRPr="00E96953" w:rsidRDefault="00793447" w:rsidP="00871D27">
      <w:pPr>
        <w:pStyle w:val="FootnoteText"/>
        <w:spacing w:after="0" w:line="240" w:lineRule="auto"/>
        <w:rPr>
          <w:rFonts w:asciiTheme="majorHAnsi" w:hAnsiTheme="majorHAnsi"/>
          <w:i/>
          <w:sz w:val="18"/>
          <w:szCs w:val="18"/>
        </w:rPr>
      </w:pPr>
      <w:r w:rsidRPr="00E96953">
        <w:rPr>
          <w:rStyle w:val="FootnoteReference"/>
          <w:rFonts w:asciiTheme="majorHAnsi" w:hAnsiTheme="majorHAnsi"/>
          <w:i/>
          <w:sz w:val="18"/>
          <w:szCs w:val="18"/>
        </w:rPr>
        <w:footnoteRef/>
      </w:r>
      <w:r w:rsidRPr="00E96953">
        <w:rPr>
          <w:rFonts w:asciiTheme="majorHAnsi" w:hAnsiTheme="majorHAnsi"/>
          <w:i/>
          <w:sz w:val="18"/>
          <w:szCs w:val="18"/>
        </w:rPr>
        <w:t xml:space="preserve"> Date provizorii</w:t>
      </w:r>
    </w:p>
  </w:footnote>
  <w:footnote w:id="2">
    <w:p w:rsidR="00793447" w:rsidRPr="00793447" w:rsidRDefault="00793447" w:rsidP="00930B66">
      <w:pPr>
        <w:pStyle w:val="FootnoteText"/>
        <w:spacing w:after="0" w:line="240" w:lineRule="auto"/>
        <w:rPr>
          <w:rFonts w:asciiTheme="majorHAnsi" w:hAnsiTheme="majorHAnsi"/>
          <w:i/>
          <w:sz w:val="16"/>
          <w:szCs w:val="16"/>
        </w:rPr>
      </w:pPr>
      <w:r w:rsidRPr="00E96953">
        <w:rPr>
          <w:rStyle w:val="FootnoteReference"/>
          <w:rFonts w:asciiTheme="majorHAnsi" w:hAnsiTheme="majorHAnsi"/>
          <w:i/>
          <w:sz w:val="18"/>
          <w:szCs w:val="18"/>
        </w:rPr>
        <w:footnoteRef/>
      </w:r>
      <w:r w:rsidRPr="00E96953">
        <w:rPr>
          <w:rFonts w:asciiTheme="majorHAnsi" w:hAnsiTheme="majorHAnsi"/>
          <w:i/>
          <w:sz w:val="18"/>
          <w:szCs w:val="18"/>
        </w:rPr>
        <w:t xml:space="preserve"> Date provizorii</w:t>
      </w:r>
    </w:p>
  </w:footnote>
  <w:footnote w:id="3">
    <w:p w:rsidR="00930B66" w:rsidRDefault="00930B66" w:rsidP="00930B66">
      <w:pPr>
        <w:pStyle w:val="FootnoteText"/>
        <w:spacing w:after="0" w:line="240" w:lineRule="auto"/>
        <w:rPr>
          <w:rFonts w:asciiTheme="majorHAnsi" w:hAnsiTheme="majorHAnsi"/>
          <w:i/>
          <w:sz w:val="18"/>
          <w:szCs w:val="18"/>
        </w:rPr>
      </w:pPr>
      <w:r w:rsidRPr="00E96953">
        <w:rPr>
          <w:rStyle w:val="FootnoteReference"/>
          <w:rFonts w:asciiTheme="majorHAnsi" w:hAnsiTheme="majorHAnsi"/>
          <w:i/>
          <w:sz w:val="18"/>
          <w:szCs w:val="18"/>
        </w:rPr>
        <w:footnoteRef/>
      </w:r>
      <w:r w:rsidRPr="00E96953">
        <w:rPr>
          <w:rFonts w:asciiTheme="majorHAnsi" w:hAnsiTheme="majorHAnsi"/>
          <w:i/>
          <w:sz w:val="18"/>
          <w:szCs w:val="18"/>
        </w:rPr>
        <w:t xml:space="preserve"> Date provizorii</w:t>
      </w:r>
    </w:p>
    <w:p w:rsidR="00930B66" w:rsidRPr="00793447" w:rsidRDefault="00930B66" w:rsidP="00930B66">
      <w:pPr>
        <w:pStyle w:val="FootnoteText"/>
        <w:spacing w:after="0" w:line="240" w:lineRule="auto"/>
        <w:jc w:val="both"/>
        <w:rPr>
          <w:rFonts w:asciiTheme="majorHAnsi" w:hAnsiTheme="majorHAnsi"/>
          <w:i/>
          <w:sz w:val="16"/>
          <w:szCs w:val="16"/>
        </w:rPr>
      </w:pPr>
      <w:r w:rsidRPr="00793447">
        <w:rPr>
          <w:rFonts w:asciiTheme="majorHAnsi" w:hAnsiTheme="majorHAnsi"/>
          <w:sz w:val="16"/>
          <w:szCs w:val="16"/>
        </w:rPr>
        <w:t>NOTĂ: Popula</w:t>
      </w:r>
      <w:r>
        <w:rPr>
          <w:rFonts w:asciiTheme="majorHAnsi" w:hAnsiTheme="majorHAnsi"/>
          <w:sz w:val="16"/>
          <w:szCs w:val="16"/>
        </w:rPr>
        <w:t>ț</w:t>
      </w:r>
      <w:r w:rsidRPr="00793447">
        <w:rPr>
          <w:rFonts w:asciiTheme="majorHAnsi" w:hAnsiTheme="majorHAnsi"/>
          <w:sz w:val="16"/>
          <w:szCs w:val="16"/>
        </w:rPr>
        <w:t>ia rezident</w:t>
      </w:r>
      <w:r>
        <w:rPr>
          <w:rFonts w:asciiTheme="majorHAnsi" w:hAnsiTheme="majorHAnsi"/>
          <w:sz w:val="16"/>
          <w:szCs w:val="16"/>
        </w:rPr>
        <w:t>ă</w:t>
      </w:r>
      <w:r w:rsidRPr="00793447">
        <w:rPr>
          <w:rFonts w:asciiTheme="majorHAnsi" w:hAnsiTheme="majorHAnsi"/>
          <w:sz w:val="16"/>
          <w:szCs w:val="16"/>
        </w:rPr>
        <w:t xml:space="preserve"> reprezint</w:t>
      </w:r>
      <w:r>
        <w:rPr>
          <w:rFonts w:asciiTheme="majorHAnsi" w:hAnsiTheme="majorHAnsi"/>
          <w:sz w:val="16"/>
          <w:szCs w:val="16"/>
        </w:rPr>
        <w:t>ă</w:t>
      </w:r>
      <w:r w:rsidRPr="00793447">
        <w:rPr>
          <w:rFonts w:asciiTheme="majorHAnsi" w:hAnsiTheme="majorHAnsi"/>
          <w:sz w:val="16"/>
          <w:szCs w:val="16"/>
        </w:rPr>
        <w:t xml:space="preserve"> totalitatea persoanelor cu cet</w:t>
      </w:r>
      <w:r>
        <w:rPr>
          <w:rFonts w:asciiTheme="majorHAnsi" w:hAnsiTheme="majorHAnsi"/>
          <w:sz w:val="16"/>
          <w:szCs w:val="16"/>
        </w:rPr>
        <w:t>ăț</w:t>
      </w:r>
      <w:r w:rsidRPr="00793447">
        <w:rPr>
          <w:rFonts w:asciiTheme="majorHAnsi" w:hAnsiTheme="majorHAnsi"/>
          <w:sz w:val="16"/>
          <w:szCs w:val="16"/>
        </w:rPr>
        <w:t>enie rom</w:t>
      </w:r>
      <w:r>
        <w:rPr>
          <w:rFonts w:asciiTheme="majorHAnsi" w:hAnsiTheme="majorHAnsi"/>
          <w:sz w:val="16"/>
          <w:szCs w:val="16"/>
        </w:rPr>
        <w:t>â</w:t>
      </w:r>
      <w:r w:rsidRPr="00793447">
        <w:rPr>
          <w:rFonts w:asciiTheme="majorHAnsi" w:hAnsiTheme="majorHAnsi"/>
          <w:sz w:val="16"/>
          <w:szCs w:val="16"/>
        </w:rPr>
        <w:t>n</w:t>
      </w:r>
      <w:r>
        <w:rPr>
          <w:rFonts w:asciiTheme="majorHAnsi" w:hAnsiTheme="majorHAnsi"/>
          <w:sz w:val="16"/>
          <w:szCs w:val="16"/>
        </w:rPr>
        <w:t>ă</w:t>
      </w:r>
      <w:r w:rsidRPr="00793447">
        <w:rPr>
          <w:rFonts w:asciiTheme="majorHAnsi" w:hAnsiTheme="majorHAnsi"/>
          <w:sz w:val="16"/>
          <w:szCs w:val="16"/>
        </w:rPr>
        <w:t>, str</w:t>
      </w:r>
      <w:r>
        <w:rPr>
          <w:rFonts w:asciiTheme="majorHAnsi" w:hAnsiTheme="majorHAnsi"/>
          <w:sz w:val="16"/>
          <w:szCs w:val="16"/>
        </w:rPr>
        <w:t>ă</w:t>
      </w:r>
      <w:r w:rsidRPr="00793447">
        <w:rPr>
          <w:rFonts w:asciiTheme="majorHAnsi" w:hAnsiTheme="majorHAnsi"/>
          <w:sz w:val="16"/>
          <w:szCs w:val="16"/>
        </w:rPr>
        <w:t xml:space="preserve">ini </w:t>
      </w:r>
      <w:r>
        <w:rPr>
          <w:rFonts w:asciiTheme="majorHAnsi" w:hAnsiTheme="majorHAnsi"/>
          <w:sz w:val="16"/>
          <w:szCs w:val="16"/>
        </w:rPr>
        <w:t>ș</w:t>
      </w:r>
      <w:r w:rsidRPr="00793447">
        <w:rPr>
          <w:rFonts w:asciiTheme="majorHAnsi" w:hAnsiTheme="majorHAnsi"/>
          <w:sz w:val="16"/>
          <w:szCs w:val="16"/>
        </w:rPr>
        <w:t>i f</w:t>
      </w:r>
      <w:r>
        <w:rPr>
          <w:rFonts w:asciiTheme="majorHAnsi" w:hAnsiTheme="majorHAnsi"/>
          <w:sz w:val="16"/>
          <w:szCs w:val="16"/>
        </w:rPr>
        <w:t>ă</w:t>
      </w:r>
      <w:r w:rsidRPr="00793447">
        <w:rPr>
          <w:rFonts w:asciiTheme="majorHAnsi" w:hAnsiTheme="majorHAnsi"/>
          <w:sz w:val="16"/>
          <w:szCs w:val="16"/>
        </w:rPr>
        <w:t>r</w:t>
      </w:r>
      <w:r>
        <w:rPr>
          <w:rFonts w:asciiTheme="majorHAnsi" w:hAnsiTheme="majorHAnsi"/>
          <w:sz w:val="16"/>
          <w:szCs w:val="16"/>
        </w:rPr>
        <w:t>ă</w:t>
      </w:r>
      <w:r w:rsidRPr="00793447">
        <w:rPr>
          <w:rFonts w:asciiTheme="majorHAnsi" w:hAnsiTheme="majorHAnsi"/>
          <w:sz w:val="16"/>
          <w:szCs w:val="16"/>
        </w:rPr>
        <w:t xml:space="preserve"> cet</w:t>
      </w:r>
      <w:r>
        <w:rPr>
          <w:rFonts w:asciiTheme="majorHAnsi" w:hAnsiTheme="majorHAnsi"/>
          <w:sz w:val="16"/>
          <w:szCs w:val="16"/>
        </w:rPr>
        <w:t>ăț</w:t>
      </w:r>
      <w:r w:rsidRPr="00793447">
        <w:rPr>
          <w:rFonts w:asciiTheme="majorHAnsi" w:hAnsiTheme="majorHAnsi"/>
          <w:sz w:val="16"/>
          <w:szCs w:val="16"/>
        </w:rPr>
        <w:t>enie, care au re</w:t>
      </w:r>
      <w:r>
        <w:rPr>
          <w:rFonts w:asciiTheme="majorHAnsi" w:hAnsiTheme="majorHAnsi"/>
          <w:sz w:val="16"/>
          <w:szCs w:val="16"/>
        </w:rPr>
        <w:t>ș</w:t>
      </w:r>
      <w:r w:rsidRPr="00793447">
        <w:rPr>
          <w:rFonts w:asciiTheme="majorHAnsi" w:hAnsiTheme="majorHAnsi"/>
          <w:sz w:val="16"/>
          <w:szCs w:val="16"/>
        </w:rPr>
        <w:t>edin</w:t>
      </w:r>
      <w:r>
        <w:rPr>
          <w:rFonts w:asciiTheme="majorHAnsi" w:hAnsiTheme="majorHAnsi"/>
          <w:sz w:val="16"/>
          <w:szCs w:val="16"/>
        </w:rPr>
        <w:t>ț</w:t>
      </w:r>
      <w:r w:rsidRPr="00793447">
        <w:rPr>
          <w:rFonts w:asciiTheme="majorHAnsi" w:hAnsiTheme="majorHAnsi"/>
          <w:sz w:val="16"/>
          <w:szCs w:val="16"/>
        </w:rPr>
        <w:t>a obi</w:t>
      </w:r>
      <w:r>
        <w:rPr>
          <w:rFonts w:asciiTheme="majorHAnsi" w:hAnsiTheme="majorHAnsi"/>
          <w:sz w:val="16"/>
          <w:szCs w:val="16"/>
        </w:rPr>
        <w:t>ș</w:t>
      </w:r>
      <w:r w:rsidRPr="00793447">
        <w:rPr>
          <w:rFonts w:asciiTheme="majorHAnsi" w:hAnsiTheme="majorHAnsi"/>
          <w:sz w:val="16"/>
          <w:szCs w:val="16"/>
        </w:rPr>
        <w:t>nuit</w:t>
      </w:r>
      <w:r>
        <w:rPr>
          <w:rFonts w:asciiTheme="majorHAnsi" w:hAnsiTheme="majorHAnsi"/>
          <w:sz w:val="16"/>
          <w:szCs w:val="16"/>
        </w:rPr>
        <w:t>ă</w:t>
      </w:r>
      <w:r w:rsidRPr="00793447">
        <w:rPr>
          <w:rFonts w:asciiTheme="majorHAnsi" w:hAnsiTheme="majorHAnsi"/>
          <w:sz w:val="16"/>
          <w:szCs w:val="16"/>
        </w:rPr>
        <w:t xml:space="preserve"> pe teritoriul Rom</w:t>
      </w:r>
      <w:r>
        <w:rPr>
          <w:rFonts w:asciiTheme="majorHAnsi" w:hAnsiTheme="majorHAnsi"/>
          <w:sz w:val="16"/>
          <w:szCs w:val="16"/>
        </w:rPr>
        <w:t>â</w:t>
      </w:r>
      <w:r w:rsidRPr="00793447">
        <w:rPr>
          <w:rFonts w:asciiTheme="majorHAnsi" w:hAnsiTheme="majorHAnsi"/>
          <w:sz w:val="16"/>
          <w:szCs w:val="16"/>
        </w:rPr>
        <w:t>niei. Re</w:t>
      </w:r>
      <w:r>
        <w:rPr>
          <w:rFonts w:asciiTheme="majorHAnsi" w:hAnsiTheme="majorHAnsi"/>
          <w:sz w:val="16"/>
          <w:szCs w:val="16"/>
        </w:rPr>
        <w:t>ș</w:t>
      </w:r>
      <w:r w:rsidRPr="00793447">
        <w:rPr>
          <w:rFonts w:asciiTheme="majorHAnsi" w:hAnsiTheme="majorHAnsi"/>
          <w:sz w:val="16"/>
          <w:szCs w:val="16"/>
        </w:rPr>
        <w:t>edin</w:t>
      </w:r>
      <w:r>
        <w:rPr>
          <w:rFonts w:asciiTheme="majorHAnsi" w:hAnsiTheme="majorHAnsi"/>
          <w:sz w:val="16"/>
          <w:szCs w:val="16"/>
        </w:rPr>
        <w:t>ț</w:t>
      </w:r>
      <w:r w:rsidRPr="00793447">
        <w:rPr>
          <w:rFonts w:asciiTheme="majorHAnsi" w:hAnsiTheme="majorHAnsi"/>
          <w:sz w:val="16"/>
          <w:szCs w:val="16"/>
        </w:rPr>
        <w:t>a obi</w:t>
      </w:r>
      <w:r>
        <w:rPr>
          <w:rFonts w:asciiTheme="majorHAnsi" w:hAnsiTheme="majorHAnsi"/>
          <w:sz w:val="16"/>
          <w:szCs w:val="16"/>
        </w:rPr>
        <w:t>șnuită</w:t>
      </w:r>
      <w:r w:rsidRPr="00793447">
        <w:rPr>
          <w:rFonts w:asciiTheme="majorHAnsi" w:hAnsiTheme="majorHAnsi"/>
          <w:sz w:val="16"/>
          <w:szCs w:val="16"/>
        </w:rPr>
        <w:t xml:space="preserve"> reprezint</w:t>
      </w:r>
      <w:r>
        <w:rPr>
          <w:rFonts w:asciiTheme="majorHAnsi" w:hAnsiTheme="majorHAnsi"/>
          <w:sz w:val="16"/>
          <w:szCs w:val="16"/>
        </w:rPr>
        <w:t>ă</w:t>
      </w:r>
      <w:r w:rsidRPr="00793447">
        <w:rPr>
          <w:rFonts w:asciiTheme="majorHAnsi" w:hAnsiTheme="majorHAnsi"/>
          <w:sz w:val="16"/>
          <w:szCs w:val="16"/>
        </w:rPr>
        <w:t xml:space="preserve"> locul </w:t>
      </w:r>
      <w:r>
        <w:rPr>
          <w:rFonts w:asciiTheme="majorHAnsi" w:hAnsiTheme="majorHAnsi"/>
          <w:sz w:val="16"/>
          <w:szCs w:val="16"/>
        </w:rPr>
        <w:t>î</w:t>
      </w:r>
      <w:r w:rsidRPr="00793447">
        <w:rPr>
          <w:rFonts w:asciiTheme="majorHAnsi" w:hAnsiTheme="majorHAnsi"/>
          <w:sz w:val="16"/>
          <w:szCs w:val="16"/>
        </w:rPr>
        <w:t xml:space="preserve">n care o persoana </w:t>
      </w:r>
      <w:r>
        <w:rPr>
          <w:rFonts w:asciiTheme="majorHAnsi" w:hAnsiTheme="majorHAnsi"/>
          <w:sz w:val="16"/>
          <w:szCs w:val="16"/>
        </w:rPr>
        <w:t>îș</w:t>
      </w:r>
      <w:r w:rsidRPr="00793447">
        <w:rPr>
          <w:rFonts w:asciiTheme="majorHAnsi" w:hAnsiTheme="majorHAnsi"/>
          <w:sz w:val="16"/>
          <w:szCs w:val="16"/>
        </w:rPr>
        <w:t xml:space="preserve">i petrece </w:t>
      </w:r>
      <w:r>
        <w:rPr>
          <w:rFonts w:asciiTheme="majorHAnsi" w:hAnsiTheme="majorHAnsi"/>
          <w:sz w:val="16"/>
          <w:szCs w:val="16"/>
        </w:rPr>
        <w:t>î</w:t>
      </w:r>
      <w:r w:rsidRPr="00793447">
        <w:rPr>
          <w:rFonts w:asciiTheme="majorHAnsi" w:hAnsiTheme="majorHAnsi"/>
          <w:sz w:val="16"/>
          <w:szCs w:val="16"/>
        </w:rPr>
        <w:t>n mod obi</w:t>
      </w:r>
      <w:r>
        <w:rPr>
          <w:rFonts w:asciiTheme="majorHAnsi" w:hAnsiTheme="majorHAnsi"/>
          <w:sz w:val="16"/>
          <w:szCs w:val="16"/>
        </w:rPr>
        <w:t>ș</w:t>
      </w:r>
      <w:r w:rsidRPr="00793447">
        <w:rPr>
          <w:rFonts w:asciiTheme="majorHAnsi" w:hAnsiTheme="majorHAnsi"/>
          <w:sz w:val="16"/>
          <w:szCs w:val="16"/>
        </w:rPr>
        <w:t>nuit perioada zilnic</w:t>
      </w:r>
      <w:r>
        <w:rPr>
          <w:rFonts w:asciiTheme="majorHAnsi" w:hAnsiTheme="majorHAnsi"/>
          <w:sz w:val="16"/>
          <w:szCs w:val="16"/>
        </w:rPr>
        <w:t>ă de odihnă</w:t>
      </w:r>
      <w:r w:rsidRPr="00793447">
        <w:rPr>
          <w:rFonts w:asciiTheme="majorHAnsi" w:hAnsiTheme="majorHAnsi"/>
          <w:sz w:val="16"/>
          <w:szCs w:val="16"/>
        </w:rPr>
        <w:t>, f</w:t>
      </w:r>
      <w:r>
        <w:rPr>
          <w:rFonts w:asciiTheme="majorHAnsi" w:hAnsiTheme="majorHAnsi"/>
          <w:sz w:val="16"/>
          <w:szCs w:val="16"/>
        </w:rPr>
        <w:t>ă</w:t>
      </w:r>
      <w:r w:rsidRPr="00793447">
        <w:rPr>
          <w:rFonts w:asciiTheme="majorHAnsi" w:hAnsiTheme="majorHAnsi"/>
          <w:sz w:val="16"/>
          <w:szCs w:val="16"/>
        </w:rPr>
        <w:t>r</w:t>
      </w:r>
      <w:r>
        <w:rPr>
          <w:rFonts w:asciiTheme="majorHAnsi" w:hAnsiTheme="majorHAnsi"/>
          <w:sz w:val="16"/>
          <w:szCs w:val="16"/>
        </w:rPr>
        <w:t>ă</w:t>
      </w:r>
      <w:r w:rsidRPr="00793447">
        <w:rPr>
          <w:rFonts w:asciiTheme="majorHAnsi" w:hAnsiTheme="majorHAnsi"/>
          <w:sz w:val="16"/>
          <w:szCs w:val="16"/>
        </w:rPr>
        <w:t xml:space="preserve"> a </w:t>
      </w:r>
      <w:r>
        <w:rPr>
          <w:rFonts w:asciiTheme="majorHAnsi" w:hAnsiTheme="majorHAnsi"/>
          <w:sz w:val="16"/>
          <w:szCs w:val="16"/>
        </w:rPr>
        <w:t>ț</w:t>
      </w:r>
      <w:r w:rsidRPr="00793447">
        <w:rPr>
          <w:rFonts w:asciiTheme="majorHAnsi" w:hAnsiTheme="majorHAnsi"/>
          <w:sz w:val="16"/>
          <w:szCs w:val="16"/>
        </w:rPr>
        <w:t>ine seama de absen</w:t>
      </w:r>
      <w:r>
        <w:rPr>
          <w:rFonts w:asciiTheme="majorHAnsi" w:hAnsiTheme="majorHAnsi"/>
          <w:sz w:val="16"/>
          <w:szCs w:val="16"/>
        </w:rPr>
        <w:t>ț</w:t>
      </w:r>
      <w:r w:rsidRPr="00793447">
        <w:rPr>
          <w:rFonts w:asciiTheme="majorHAnsi" w:hAnsiTheme="majorHAnsi"/>
          <w:sz w:val="16"/>
          <w:szCs w:val="16"/>
        </w:rPr>
        <w:t>ele temporare pentru recreere, vacan</w:t>
      </w:r>
      <w:r>
        <w:rPr>
          <w:rFonts w:asciiTheme="majorHAnsi" w:hAnsiTheme="majorHAnsi"/>
          <w:sz w:val="16"/>
          <w:szCs w:val="16"/>
        </w:rPr>
        <w:t>ț</w:t>
      </w:r>
      <w:r w:rsidRPr="00793447">
        <w:rPr>
          <w:rFonts w:asciiTheme="majorHAnsi" w:hAnsiTheme="majorHAnsi"/>
          <w:sz w:val="16"/>
          <w:szCs w:val="16"/>
        </w:rPr>
        <w:t xml:space="preserve">e, vizite la prieteni </w:t>
      </w:r>
      <w:r>
        <w:rPr>
          <w:rFonts w:asciiTheme="majorHAnsi" w:hAnsiTheme="majorHAnsi"/>
          <w:sz w:val="16"/>
          <w:szCs w:val="16"/>
        </w:rPr>
        <w:t>ș</w:t>
      </w:r>
      <w:r w:rsidRPr="00793447">
        <w:rPr>
          <w:rFonts w:asciiTheme="majorHAnsi" w:hAnsiTheme="majorHAnsi"/>
          <w:sz w:val="16"/>
          <w:szCs w:val="16"/>
        </w:rPr>
        <w:t>i rude, afaceri, tratamente medicale sau pelerinaje religioase. Se consider</w:t>
      </w:r>
      <w:r>
        <w:rPr>
          <w:rFonts w:asciiTheme="majorHAnsi" w:hAnsiTheme="majorHAnsi"/>
          <w:sz w:val="16"/>
          <w:szCs w:val="16"/>
        </w:rPr>
        <w:t>ă</w:t>
      </w:r>
      <w:r w:rsidRPr="00793447">
        <w:rPr>
          <w:rFonts w:asciiTheme="majorHAnsi" w:hAnsiTheme="majorHAnsi"/>
          <w:sz w:val="16"/>
          <w:szCs w:val="16"/>
        </w:rPr>
        <w:t xml:space="preserve"> c</w:t>
      </w:r>
      <w:r>
        <w:rPr>
          <w:rFonts w:asciiTheme="majorHAnsi" w:hAnsiTheme="majorHAnsi"/>
          <w:sz w:val="16"/>
          <w:szCs w:val="16"/>
        </w:rPr>
        <w:t>ă</w:t>
      </w:r>
      <w:r w:rsidRPr="00793447">
        <w:rPr>
          <w:rFonts w:asciiTheme="majorHAnsi" w:hAnsiTheme="majorHAnsi"/>
          <w:sz w:val="16"/>
          <w:szCs w:val="16"/>
        </w:rPr>
        <w:t xml:space="preserve"> </w:t>
      </w:r>
      <w:r>
        <w:rPr>
          <w:rFonts w:asciiTheme="majorHAnsi" w:hAnsiTheme="majorHAnsi"/>
          <w:sz w:val="16"/>
          <w:szCs w:val="16"/>
        </w:rPr>
        <w:t>îș</w:t>
      </w:r>
      <w:r w:rsidRPr="00793447">
        <w:rPr>
          <w:rFonts w:asciiTheme="majorHAnsi" w:hAnsiTheme="majorHAnsi"/>
          <w:sz w:val="16"/>
          <w:szCs w:val="16"/>
        </w:rPr>
        <w:t>i au re</w:t>
      </w:r>
      <w:r>
        <w:rPr>
          <w:rFonts w:asciiTheme="majorHAnsi" w:hAnsiTheme="majorHAnsi"/>
          <w:sz w:val="16"/>
          <w:szCs w:val="16"/>
        </w:rPr>
        <w:t>ș</w:t>
      </w:r>
      <w:r w:rsidRPr="00793447">
        <w:rPr>
          <w:rFonts w:asciiTheme="majorHAnsi" w:hAnsiTheme="majorHAnsi"/>
          <w:sz w:val="16"/>
          <w:szCs w:val="16"/>
        </w:rPr>
        <w:t>edin</w:t>
      </w:r>
      <w:r>
        <w:rPr>
          <w:rFonts w:asciiTheme="majorHAnsi" w:hAnsiTheme="majorHAnsi"/>
          <w:sz w:val="16"/>
          <w:szCs w:val="16"/>
        </w:rPr>
        <w:t>ț</w:t>
      </w:r>
      <w:r w:rsidRPr="00793447">
        <w:rPr>
          <w:rFonts w:asciiTheme="majorHAnsi" w:hAnsiTheme="majorHAnsi"/>
          <w:sz w:val="16"/>
          <w:szCs w:val="16"/>
        </w:rPr>
        <w:t>a obi</w:t>
      </w:r>
      <w:r>
        <w:rPr>
          <w:rFonts w:asciiTheme="majorHAnsi" w:hAnsiTheme="majorHAnsi"/>
          <w:sz w:val="16"/>
          <w:szCs w:val="16"/>
        </w:rPr>
        <w:t>ș</w:t>
      </w:r>
      <w:r w:rsidRPr="00793447">
        <w:rPr>
          <w:rFonts w:asciiTheme="majorHAnsi" w:hAnsiTheme="majorHAnsi"/>
          <w:sz w:val="16"/>
          <w:szCs w:val="16"/>
        </w:rPr>
        <w:t>nui</w:t>
      </w:r>
      <w:r>
        <w:rPr>
          <w:rFonts w:asciiTheme="majorHAnsi" w:hAnsiTheme="majorHAnsi"/>
          <w:sz w:val="16"/>
          <w:szCs w:val="16"/>
        </w:rPr>
        <w:t>ț</w:t>
      </w:r>
      <w:r w:rsidRPr="00793447">
        <w:rPr>
          <w:rFonts w:asciiTheme="majorHAnsi" w:hAnsiTheme="majorHAnsi"/>
          <w:sz w:val="16"/>
          <w:szCs w:val="16"/>
        </w:rPr>
        <w:t xml:space="preserve">a </w:t>
      </w:r>
      <w:r>
        <w:rPr>
          <w:rFonts w:asciiTheme="majorHAnsi" w:hAnsiTheme="majorHAnsi"/>
          <w:sz w:val="16"/>
          <w:szCs w:val="16"/>
        </w:rPr>
        <w:t>î</w:t>
      </w:r>
      <w:r w:rsidRPr="00793447">
        <w:rPr>
          <w:rFonts w:asciiTheme="majorHAnsi" w:hAnsiTheme="majorHAnsi"/>
          <w:sz w:val="16"/>
          <w:szCs w:val="16"/>
        </w:rPr>
        <w:t>ntr-o zon</w:t>
      </w:r>
      <w:r>
        <w:rPr>
          <w:rFonts w:asciiTheme="majorHAnsi" w:hAnsiTheme="majorHAnsi"/>
          <w:sz w:val="16"/>
          <w:szCs w:val="16"/>
        </w:rPr>
        <w:t>ă</w:t>
      </w:r>
      <w:r w:rsidRPr="00793447">
        <w:rPr>
          <w:rFonts w:asciiTheme="majorHAnsi" w:hAnsiTheme="majorHAnsi"/>
          <w:sz w:val="16"/>
          <w:szCs w:val="16"/>
        </w:rPr>
        <w:t xml:space="preserve"> geografic</w:t>
      </w:r>
      <w:r>
        <w:rPr>
          <w:rFonts w:asciiTheme="majorHAnsi" w:hAnsiTheme="majorHAnsi"/>
          <w:sz w:val="16"/>
          <w:szCs w:val="16"/>
        </w:rPr>
        <w:t>ă</w:t>
      </w:r>
      <w:r w:rsidRPr="00793447">
        <w:rPr>
          <w:rFonts w:asciiTheme="majorHAnsi" w:hAnsiTheme="majorHAnsi"/>
          <w:sz w:val="16"/>
          <w:szCs w:val="16"/>
        </w:rPr>
        <w:t xml:space="preserve"> specific</w:t>
      </w:r>
      <w:r>
        <w:rPr>
          <w:rFonts w:asciiTheme="majorHAnsi" w:hAnsiTheme="majorHAnsi"/>
          <w:sz w:val="16"/>
          <w:szCs w:val="16"/>
        </w:rPr>
        <w:t>ă</w:t>
      </w:r>
      <w:r w:rsidRPr="00793447">
        <w:rPr>
          <w:rFonts w:asciiTheme="majorHAnsi" w:hAnsiTheme="majorHAnsi"/>
          <w:sz w:val="16"/>
          <w:szCs w:val="16"/>
        </w:rPr>
        <w:t xml:space="preserve"> doar persoanele care au locuit la re</w:t>
      </w:r>
      <w:r>
        <w:rPr>
          <w:rFonts w:asciiTheme="majorHAnsi" w:hAnsiTheme="majorHAnsi"/>
          <w:sz w:val="16"/>
          <w:szCs w:val="16"/>
        </w:rPr>
        <w:t>ș</w:t>
      </w:r>
      <w:r w:rsidRPr="00793447">
        <w:rPr>
          <w:rFonts w:asciiTheme="majorHAnsi" w:hAnsiTheme="majorHAnsi"/>
          <w:sz w:val="16"/>
          <w:szCs w:val="16"/>
        </w:rPr>
        <w:t>edin</w:t>
      </w:r>
      <w:r>
        <w:rPr>
          <w:rFonts w:asciiTheme="majorHAnsi" w:hAnsiTheme="majorHAnsi"/>
          <w:sz w:val="16"/>
          <w:szCs w:val="16"/>
        </w:rPr>
        <w:t>ț</w:t>
      </w:r>
      <w:r w:rsidRPr="00793447">
        <w:rPr>
          <w:rFonts w:asciiTheme="majorHAnsi" w:hAnsiTheme="majorHAnsi"/>
          <w:sz w:val="16"/>
          <w:szCs w:val="16"/>
        </w:rPr>
        <w:t>a obi</w:t>
      </w:r>
      <w:r>
        <w:rPr>
          <w:rFonts w:asciiTheme="majorHAnsi" w:hAnsiTheme="majorHAnsi"/>
          <w:sz w:val="16"/>
          <w:szCs w:val="16"/>
        </w:rPr>
        <w:t>ș</w:t>
      </w:r>
      <w:r w:rsidRPr="00793447">
        <w:rPr>
          <w:rFonts w:asciiTheme="majorHAnsi" w:hAnsiTheme="majorHAnsi"/>
          <w:sz w:val="16"/>
          <w:szCs w:val="16"/>
        </w:rPr>
        <w:t>nui</w:t>
      </w:r>
      <w:r>
        <w:rPr>
          <w:rFonts w:asciiTheme="majorHAnsi" w:hAnsiTheme="majorHAnsi"/>
          <w:sz w:val="16"/>
          <w:szCs w:val="16"/>
        </w:rPr>
        <w:t>ț</w:t>
      </w:r>
      <w:r w:rsidRPr="00793447">
        <w:rPr>
          <w:rFonts w:asciiTheme="majorHAnsi" w:hAnsiTheme="majorHAnsi"/>
          <w:sz w:val="16"/>
          <w:szCs w:val="16"/>
        </w:rPr>
        <w:t>a o perioad</w:t>
      </w:r>
      <w:r>
        <w:rPr>
          <w:rFonts w:asciiTheme="majorHAnsi" w:hAnsiTheme="majorHAnsi"/>
          <w:sz w:val="16"/>
          <w:szCs w:val="16"/>
        </w:rPr>
        <w:t>ă</w:t>
      </w:r>
      <w:r w:rsidRPr="00793447">
        <w:rPr>
          <w:rFonts w:asciiTheme="majorHAnsi" w:hAnsiTheme="majorHAnsi"/>
          <w:sz w:val="16"/>
          <w:szCs w:val="16"/>
        </w:rPr>
        <w:t xml:space="preserve"> ne</w:t>
      </w:r>
      <w:r>
        <w:rPr>
          <w:rFonts w:asciiTheme="majorHAnsi" w:hAnsiTheme="majorHAnsi"/>
          <w:sz w:val="16"/>
          <w:szCs w:val="16"/>
        </w:rPr>
        <w:t>î</w:t>
      </w:r>
      <w:r w:rsidRPr="00793447">
        <w:rPr>
          <w:rFonts w:asciiTheme="majorHAnsi" w:hAnsiTheme="majorHAnsi"/>
          <w:sz w:val="16"/>
          <w:szCs w:val="16"/>
        </w:rPr>
        <w:t>ntrerupt</w:t>
      </w:r>
      <w:r>
        <w:rPr>
          <w:rFonts w:asciiTheme="majorHAnsi" w:hAnsiTheme="majorHAnsi"/>
          <w:sz w:val="16"/>
          <w:szCs w:val="16"/>
        </w:rPr>
        <w:t>ă</w:t>
      </w:r>
      <w:r w:rsidRPr="00793447">
        <w:rPr>
          <w:rFonts w:asciiTheme="majorHAnsi" w:hAnsiTheme="majorHAnsi"/>
          <w:sz w:val="16"/>
          <w:szCs w:val="16"/>
        </w:rPr>
        <w:t xml:space="preserve"> de cel pu</w:t>
      </w:r>
      <w:r>
        <w:rPr>
          <w:rFonts w:asciiTheme="majorHAnsi" w:hAnsiTheme="majorHAnsi"/>
          <w:sz w:val="16"/>
          <w:szCs w:val="16"/>
        </w:rPr>
        <w:t>ț</w:t>
      </w:r>
      <w:r w:rsidRPr="00793447">
        <w:rPr>
          <w:rFonts w:asciiTheme="majorHAnsi" w:hAnsiTheme="majorHAnsi"/>
          <w:sz w:val="16"/>
          <w:szCs w:val="16"/>
        </w:rPr>
        <w:t xml:space="preserve">in 12 luni </w:t>
      </w:r>
      <w:r>
        <w:rPr>
          <w:rFonts w:asciiTheme="majorHAnsi" w:hAnsiTheme="majorHAnsi"/>
          <w:sz w:val="16"/>
          <w:szCs w:val="16"/>
        </w:rPr>
        <w:t>î</w:t>
      </w:r>
      <w:r w:rsidRPr="00793447">
        <w:rPr>
          <w:rFonts w:asciiTheme="majorHAnsi" w:hAnsiTheme="majorHAnsi"/>
          <w:sz w:val="16"/>
          <w:szCs w:val="16"/>
        </w:rPr>
        <w:t>nainte de momentul de referin</w:t>
      </w:r>
      <w:r>
        <w:rPr>
          <w:rFonts w:asciiTheme="majorHAnsi" w:hAnsiTheme="majorHAnsi"/>
          <w:sz w:val="16"/>
          <w:szCs w:val="16"/>
        </w:rPr>
        <w:t>ță</w:t>
      </w:r>
      <w:r w:rsidRPr="00793447">
        <w:rPr>
          <w:rFonts w:asciiTheme="majorHAnsi" w:hAnsiTheme="majorHAnsi"/>
          <w:sz w:val="16"/>
          <w:szCs w:val="16"/>
        </w:rPr>
        <w:t xml:space="preserve">. </w:t>
      </w:r>
      <w:r>
        <w:rPr>
          <w:rFonts w:asciiTheme="majorHAnsi" w:hAnsiTheme="majorHAnsi"/>
          <w:sz w:val="16"/>
          <w:szCs w:val="16"/>
        </w:rPr>
        <w:t>Î</w:t>
      </w:r>
      <w:r w:rsidRPr="00793447">
        <w:rPr>
          <w:rFonts w:asciiTheme="majorHAnsi" w:hAnsiTheme="majorHAnsi"/>
          <w:sz w:val="16"/>
          <w:szCs w:val="16"/>
        </w:rPr>
        <w:t>n popula</w:t>
      </w:r>
      <w:r>
        <w:rPr>
          <w:rFonts w:asciiTheme="majorHAnsi" w:hAnsiTheme="majorHAnsi"/>
          <w:sz w:val="16"/>
          <w:szCs w:val="16"/>
        </w:rPr>
        <w:t>ț</w:t>
      </w:r>
      <w:r w:rsidRPr="00793447">
        <w:rPr>
          <w:rFonts w:asciiTheme="majorHAnsi" w:hAnsiTheme="majorHAnsi"/>
          <w:sz w:val="16"/>
          <w:szCs w:val="16"/>
        </w:rPr>
        <w:t>ia rezident</w:t>
      </w:r>
      <w:r>
        <w:rPr>
          <w:rFonts w:asciiTheme="majorHAnsi" w:hAnsiTheme="majorHAnsi"/>
          <w:sz w:val="16"/>
          <w:szCs w:val="16"/>
        </w:rPr>
        <w:t>ă</w:t>
      </w:r>
      <w:r w:rsidRPr="00793447">
        <w:rPr>
          <w:rFonts w:asciiTheme="majorHAnsi" w:hAnsiTheme="majorHAnsi"/>
          <w:sz w:val="16"/>
          <w:szCs w:val="16"/>
        </w:rPr>
        <w:t xml:space="preserve"> sunt incluse persoanele care au imigrat </w:t>
      </w:r>
      <w:r>
        <w:rPr>
          <w:rFonts w:asciiTheme="majorHAnsi" w:hAnsiTheme="majorHAnsi"/>
          <w:sz w:val="16"/>
          <w:szCs w:val="16"/>
        </w:rPr>
        <w:t>în Româ</w:t>
      </w:r>
      <w:r w:rsidRPr="00793447">
        <w:rPr>
          <w:rFonts w:asciiTheme="majorHAnsi" w:hAnsiTheme="majorHAnsi"/>
          <w:sz w:val="16"/>
          <w:szCs w:val="16"/>
        </w:rPr>
        <w:t>nia, dar sunt excluse per</w:t>
      </w:r>
      <w:r>
        <w:rPr>
          <w:rFonts w:asciiTheme="majorHAnsi" w:hAnsiTheme="majorHAnsi"/>
          <w:sz w:val="16"/>
          <w:szCs w:val="16"/>
        </w:rPr>
        <w:t>soanele care au emigrat din Româ</w:t>
      </w:r>
      <w:r w:rsidRPr="00793447">
        <w:rPr>
          <w:rFonts w:asciiTheme="majorHAnsi" w:hAnsiTheme="majorHAnsi"/>
          <w:sz w:val="16"/>
          <w:szCs w:val="16"/>
        </w:rPr>
        <w:t>nia.</w:t>
      </w:r>
    </w:p>
  </w:footnote>
  <w:footnote w:id="4">
    <w:p w:rsidR="00793447" w:rsidRPr="00AF14A9" w:rsidRDefault="00793447" w:rsidP="00871D27">
      <w:pPr>
        <w:pStyle w:val="NormalWeb"/>
        <w:shd w:val="clear" w:color="auto" w:fill="FFFFFF"/>
        <w:textAlignment w:val="center"/>
        <w:rPr>
          <w:rFonts w:ascii="Cambria" w:hAnsi="Cambria"/>
          <w:i/>
          <w:color w:val="FF0000"/>
          <w:sz w:val="18"/>
          <w:szCs w:val="18"/>
          <w:lang w:val="es-ES"/>
        </w:rPr>
      </w:pPr>
      <w:r w:rsidRPr="00AF14A9">
        <w:rPr>
          <w:rStyle w:val="FootnoteReference"/>
          <w:rFonts w:ascii="Cambria" w:hAnsi="Cambria"/>
          <w:sz w:val="18"/>
          <w:szCs w:val="18"/>
        </w:rPr>
        <w:footnoteRef/>
      </w:r>
      <w:r w:rsidRPr="00AF14A9">
        <w:rPr>
          <w:rFonts w:ascii="Cambria" w:hAnsi="Cambria"/>
          <w:sz w:val="18"/>
          <w:szCs w:val="18"/>
          <w:vertAlign w:val="superscript"/>
          <w:lang w:val="es-ES"/>
        </w:rPr>
        <w:t>)</w:t>
      </w:r>
      <w:r w:rsidRPr="00AF14A9">
        <w:rPr>
          <w:rFonts w:ascii="Cambria" w:hAnsi="Cambria"/>
          <w:sz w:val="18"/>
          <w:szCs w:val="18"/>
          <w:lang w:val="es-ES"/>
        </w:rPr>
        <w:t xml:space="preserve"> </w:t>
      </w:r>
      <w:r w:rsidRPr="00FD76B1">
        <w:rPr>
          <w:rFonts w:ascii="Cambria" w:hAnsi="Cambria"/>
          <w:sz w:val="18"/>
          <w:szCs w:val="18"/>
          <w:lang w:val="es-ES"/>
        </w:rPr>
        <w:t xml:space="preserve">Pentru anul </w:t>
      </w:r>
      <w:r>
        <w:rPr>
          <w:rFonts w:ascii="Cambria" w:hAnsi="Cambria"/>
          <w:sz w:val="18"/>
          <w:szCs w:val="18"/>
          <w:lang w:val="es-ES"/>
        </w:rPr>
        <w:t>2022</w:t>
      </w:r>
      <w:r w:rsidRPr="00FD76B1">
        <w:rPr>
          <w:rFonts w:ascii="Cambria" w:hAnsi="Cambria"/>
          <w:sz w:val="18"/>
          <w:szCs w:val="18"/>
          <w:lang w:val="es-ES"/>
        </w:rPr>
        <w:t xml:space="preserve"> datele pentru n</w:t>
      </w:r>
      <w:r>
        <w:rPr>
          <w:rFonts w:ascii="Cambria" w:hAnsi="Cambria"/>
          <w:sz w:val="18"/>
          <w:szCs w:val="18"/>
          <w:lang w:val="es-ES"/>
        </w:rPr>
        <w:t>ă</w:t>
      </w:r>
      <w:r w:rsidRPr="00FD76B1">
        <w:rPr>
          <w:rFonts w:ascii="Cambria" w:hAnsi="Cambria"/>
          <w:sz w:val="18"/>
          <w:szCs w:val="18"/>
          <w:lang w:val="es-ES"/>
        </w:rPr>
        <w:t>scu</w:t>
      </w:r>
      <w:r>
        <w:rPr>
          <w:rFonts w:ascii="Cambria" w:hAnsi="Cambria"/>
          <w:sz w:val="18"/>
          <w:szCs w:val="18"/>
          <w:lang w:val="es-ES"/>
        </w:rPr>
        <w:t>ț</w:t>
      </w:r>
      <w:r w:rsidRPr="00FD76B1">
        <w:rPr>
          <w:rFonts w:ascii="Cambria" w:hAnsi="Cambria"/>
          <w:sz w:val="18"/>
          <w:szCs w:val="18"/>
          <w:lang w:val="es-ES"/>
        </w:rPr>
        <w:t>i-vii, decese, decese sub 1 an si nascut mort sunt semidefinitive iar datele pentru casatorii si divorturi sunt definitive. Pentru anul 202</w:t>
      </w:r>
      <w:r>
        <w:rPr>
          <w:rFonts w:ascii="Cambria" w:hAnsi="Cambria"/>
          <w:sz w:val="18"/>
          <w:szCs w:val="18"/>
          <w:lang w:val="es-ES"/>
        </w:rPr>
        <w:t>3</w:t>
      </w:r>
      <w:r w:rsidRPr="00FD76B1">
        <w:rPr>
          <w:rFonts w:ascii="Cambria" w:hAnsi="Cambria"/>
          <w:sz w:val="18"/>
          <w:szCs w:val="18"/>
          <w:lang w:val="es-ES"/>
        </w:rPr>
        <w:t xml:space="preserve"> datele sunt provizorii.</w:t>
      </w:r>
    </w:p>
  </w:footnote>
  <w:footnote w:id="5">
    <w:p w:rsidR="00793447" w:rsidRDefault="00793447" w:rsidP="00871D27">
      <w:pPr>
        <w:pStyle w:val="FootnoteText"/>
        <w:jc w:val="both"/>
        <w:rPr>
          <w:sz w:val="14"/>
          <w:szCs w:val="14"/>
          <w:lang w:val="it-IT"/>
        </w:rPr>
      </w:pPr>
      <w:r>
        <w:rPr>
          <w:rStyle w:val="FootnoteReference"/>
          <w:rFonts w:ascii="Arial Narrow" w:hAnsi="Arial Narrow"/>
          <w:sz w:val="14"/>
          <w:szCs w:val="14"/>
        </w:rPr>
        <w:footnoteRef/>
      </w:r>
      <w:r>
        <w:rPr>
          <w:rFonts w:ascii="Arial Narrow" w:hAnsi="Arial Narrow"/>
          <w:sz w:val="14"/>
          <w:szCs w:val="14"/>
          <w:vertAlign w:val="superscript"/>
          <w:lang w:val="it-IT"/>
        </w:rPr>
        <w:t xml:space="preserve"> )</w:t>
      </w:r>
      <w:r>
        <w:rPr>
          <w:rFonts w:ascii="Arial Narrow" w:hAnsi="Arial Narrow"/>
          <w:sz w:val="14"/>
          <w:szCs w:val="14"/>
          <w:lang w:val="it-IT"/>
        </w:rPr>
        <w:t xml:space="preserve">  </w:t>
      </w:r>
      <w:r w:rsidRPr="00AF14A9">
        <w:rPr>
          <w:rFonts w:ascii="Cambria" w:hAnsi="Cambria"/>
          <w:sz w:val="18"/>
          <w:szCs w:val="18"/>
          <w:lang w:val="it-IT"/>
        </w:rPr>
        <w:t>Datele sunt operative.</w:t>
      </w:r>
    </w:p>
  </w:footnote>
  <w:footnote w:id="6">
    <w:p w:rsidR="00793447" w:rsidRDefault="00793447" w:rsidP="00872479">
      <w:pPr>
        <w:pStyle w:val="FootnoteText"/>
        <w:jc w:val="both"/>
        <w:rPr>
          <w:rFonts w:ascii="Arial Narrow" w:hAnsi="Arial Narrow"/>
          <w:i/>
          <w:sz w:val="14"/>
          <w:szCs w:val="14"/>
          <w:lang w:val="it-IT"/>
        </w:rPr>
      </w:pPr>
      <w:r w:rsidRPr="00203B51">
        <w:rPr>
          <w:rStyle w:val="FootnoteReference"/>
          <w:rFonts w:ascii="Arial Narrow" w:hAnsi="Arial Narrow"/>
          <w:i/>
          <w:sz w:val="14"/>
          <w:szCs w:val="14"/>
          <w:vertAlign w:val="baseline"/>
        </w:rPr>
        <w:footnoteRef/>
      </w:r>
      <w:r w:rsidRPr="00203B51">
        <w:rPr>
          <w:rFonts w:ascii="Arial Narrow" w:hAnsi="Arial Narrow"/>
          <w:i/>
          <w:sz w:val="14"/>
          <w:szCs w:val="14"/>
          <w:lang w:val="it-IT"/>
        </w:rPr>
        <w:t>)</w:t>
      </w:r>
      <w:r>
        <w:rPr>
          <w:rFonts w:ascii="Arial Narrow" w:hAnsi="Arial Narrow"/>
          <w:i/>
          <w:sz w:val="14"/>
          <w:szCs w:val="14"/>
          <w:vertAlign w:val="superscript"/>
          <w:lang w:val="it-IT"/>
        </w:rPr>
        <w:t xml:space="preserve"> </w:t>
      </w:r>
      <w:r>
        <w:rPr>
          <w:rFonts w:ascii="Arial Narrow" w:hAnsi="Arial Narrow"/>
          <w:i/>
          <w:sz w:val="14"/>
          <w:szCs w:val="14"/>
          <w:lang w:val="it-IT"/>
        </w:rPr>
        <w:t xml:space="preserve"> Date provizorii. </w:t>
      </w:r>
      <w:r>
        <w:rPr>
          <w:rFonts w:ascii="Arial Narrow" w:hAnsi="Arial Narrow" w:cs="Arial"/>
          <w:bCs/>
          <w:i/>
          <w:sz w:val="14"/>
          <w:szCs w:val="14"/>
          <w:lang w:val="it-IT"/>
        </w:rPr>
        <w:t>Sursa datelor</w:t>
      </w:r>
      <w:r>
        <w:rPr>
          <w:rFonts w:ascii="Arial Narrow" w:hAnsi="Arial Narrow" w:cs="Arial"/>
          <w:i/>
          <w:sz w:val="14"/>
          <w:szCs w:val="14"/>
          <w:lang w:val="it-IT"/>
        </w:rPr>
        <w:t xml:space="preserve"> o constituie </w:t>
      </w:r>
      <w:r>
        <w:rPr>
          <w:rFonts w:ascii="Arial Narrow" w:hAnsi="Arial Narrow"/>
          <w:i/>
          <w:sz w:val="14"/>
          <w:szCs w:val="14"/>
          <w:lang w:val="it-IT"/>
        </w:rPr>
        <w:t xml:space="preserve">capitolul PROD din </w:t>
      </w:r>
      <w:r>
        <w:rPr>
          <w:rFonts w:ascii="Arial Narrow" w:hAnsi="Arial Narrow" w:cs="Arial"/>
          <w:i/>
          <w:sz w:val="14"/>
          <w:szCs w:val="14"/>
          <w:lang w:val="it-IT"/>
        </w:rPr>
        <w:t xml:space="preserve">Cercetarea statistică lunară privind indicatorii pe termen scurt în industrie (IND TS). </w:t>
      </w:r>
      <w:r>
        <w:rPr>
          <w:rFonts w:ascii="Arial Narrow" w:hAnsi="Arial Narrow"/>
          <w:i/>
          <w:sz w:val="14"/>
          <w:szCs w:val="14"/>
          <w:lang w:val="it-IT"/>
        </w:rPr>
        <w:t>Indicii producţiei industriale (IPI) caracterizează evoluţia producţiei industriale totale la nivel de judeţ, în timp ce IPI, calculat la nivel naţional, caracterizează evoluţia valorii adăugate brute la costul factorilor, realizată în activitatea industrială.</w:t>
      </w:r>
    </w:p>
  </w:footnote>
  <w:footnote w:id="7">
    <w:p w:rsidR="00793447" w:rsidRDefault="00793447" w:rsidP="00872479">
      <w:pPr>
        <w:pStyle w:val="FootnoteText"/>
        <w:jc w:val="both"/>
        <w:rPr>
          <w:rFonts w:ascii="Arial Narrow" w:hAnsi="Arial Narrow"/>
          <w:i/>
          <w:sz w:val="14"/>
          <w:szCs w:val="14"/>
          <w:lang w:val="it-IT"/>
        </w:rPr>
      </w:pPr>
      <w:r w:rsidRPr="00203B51">
        <w:rPr>
          <w:rStyle w:val="FootnoteReference"/>
          <w:rFonts w:ascii="Arial Narrow" w:hAnsi="Arial Narrow"/>
          <w:i/>
          <w:sz w:val="14"/>
          <w:szCs w:val="14"/>
          <w:vertAlign w:val="baseline"/>
        </w:rPr>
        <w:footnoteRef/>
      </w:r>
      <w:r w:rsidRPr="00203B51">
        <w:rPr>
          <w:rFonts w:ascii="Arial Narrow" w:hAnsi="Arial Narrow"/>
          <w:i/>
          <w:sz w:val="14"/>
          <w:szCs w:val="14"/>
          <w:lang w:val="it-IT"/>
        </w:rPr>
        <w:t xml:space="preserve">) </w:t>
      </w:r>
      <w:r>
        <w:rPr>
          <w:rFonts w:ascii="Arial Narrow" w:hAnsi="Arial Narrow"/>
          <w:i/>
          <w:sz w:val="14"/>
          <w:szCs w:val="14"/>
          <w:lang w:val="it-IT"/>
        </w:rPr>
        <w:t xml:space="preserve"> Date provizorii. </w:t>
      </w:r>
      <w:r>
        <w:rPr>
          <w:rFonts w:ascii="Arial Narrow" w:hAnsi="Arial Narrow" w:cs="Arial"/>
          <w:bCs/>
          <w:i/>
          <w:sz w:val="14"/>
          <w:szCs w:val="14"/>
          <w:lang w:val="it-IT"/>
        </w:rPr>
        <w:t>Sursa datelor</w:t>
      </w:r>
      <w:r>
        <w:rPr>
          <w:rFonts w:ascii="Arial Narrow" w:hAnsi="Arial Narrow" w:cs="Arial"/>
          <w:i/>
          <w:sz w:val="14"/>
          <w:szCs w:val="14"/>
          <w:lang w:val="it-IT"/>
        </w:rPr>
        <w:t xml:space="preserve"> o constituie </w:t>
      </w:r>
      <w:r>
        <w:rPr>
          <w:rFonts w:ascii="Arial Narrow" w:hAnsi="Arial Narrow"/>
          <w:i/>
          <w:sz w:val="14"/>
          <w:szCs w:val="14"/>
          <w:lang w:val="it-IT"/>
        </w:rPr>
        <w:t xml:space="preserve">capitolul PROD din </w:t>
      </w:r>
      <w:r>
        <w:rPr>
          <w:rFonts w:ascii="Arial Narrow" w:hAnsi="Arial Narrow" w:cs="Arial"/>
          <w:i/>
          <w:sz w:val="14"/>
          <w:szCs w:val="14"/>
          <w:lang w:val="it-IT"/>
        </w:rPr>
        <w:t xml:space="preserve">Cercetarea statistică lunară privind indicatorii pe termen scurt în industrie (IND TS). </w:t>
      </w:r>
      <w:r>
        <w:rPr>
          <w:rFonts w:ascii="Arial Narrow" w:hAnsi="Arial Narrow"/>
          <w:i/>
          <w:sz w:val="14"/>
          <w:szCs w:val="14"/>
          <w:lang w:val="it-IT"/>
        </w:rPr>
        <w:t>Indicii producţiei industriale (IPI) caracterizează evoluţia producţiei industriale totale la nivel de judeţ, în timp ce IPI, calculat la nivel naţional, caracterizează evoluţia valorii adăugate brute la costul factorilor, realizată în activitatea industrială.</w:t>
      </w:r>
    </w:p>
  </w:footnote>
  <w:footnote w:id="8">
    <w:p w:rsidR="00793447" w:rsidRDefault="00793447">
      <w:pPr>
        <w:pStyle w:val="FootnoteText"/>
      </w:pPr>
      <w:r>
        <w:rPr>
          <w:rStyle w:val="FootnoteReference"/>
        </w:rPr>
        <w:footnoteRef/>
      </w:r>
      <w:r>
        <w:t xml:space="preserve"> Notă: Comerţul INTRA UE27 include expedierile / introducerile de bunuri către / din statele membre ale Uniunii Europene.</w:t>
      </w:r>
    </w:p>
  </w:footnote>
  <w:footnote w:id="9">
    <w:p w:rsidR="00793447" w:rsidRPr="006904EC" w:rsidRDefault="00793447">
      <w:pPr>
        <w:pStyle w:val="FootnoteText"/>
        <w:rPr>
          <w:lang w:val="en-GB"/>
        </w:rPr>
      </w:pPr>
      <w:r>
        <w:rPr>
          <w:rStyle w:val="FootnoteReference"/>
        </w:rPr>
        <w:footnoteRef/>
      </w:r>
      <w:r>
        <w:t xml:space="preserve"> </w:t>
      </w:r>
      <w:r w:rsidRPr="006904EC">
        <w:t xml:space="preserve"> Inclusiv vehicule rutiere pentru scopuri speciale.</w:t>
      </w:r>
    </w:p>
  </w:footnote>
  <w:footnote w:id="10">
    <w:p w:rsidR="00F53527" w:rsidRPr="00532A19" w:rsidRDefault="00F53527" w:rsidP="00F53527">
      <w:pPr>
        <w:pStyle w:val="FootnoteText"/>
        <w:jc w:val="both"/>
        <w:rPr>
          <w:rFonts w:ascii="Arial Narrow" w:hAnsi="Arial Narrow"/>
          <w:i/>
          <w:sz w:val="14"/>
          <w:szCs w:val="14"/>
          <w:lang w:val="es-ES"/>
        </w:rPr>
      </w:pPr>
      <w:r w:rsidRPr="00E15784">
        <w:rPr>
          <w:rStyle w:val="FootnoteReference"/>
          <w:rFonts w:ascii="Arial Narrow" w:hAnsi="Arial Narrow"/>
          <w:i/>
          <w:sz w:val="14"/>
          <w:szCs w:val="14"/>
        </w:rPr>
        <w:footnoteRef/>
      </w:r>
      <w:r w:rsidRPr="00532A19">
        <w:rPr>
          <w:rFonts w:ascii="Arial Narrow" w:hAnsi="Arial Narrow"/>
          <w:i/>
          <w:sz w:val="14"/>
          <w:szCs w:val="14"/>
          <w:vertAlign w:val="superscript"/>
          <w:lang w:val="es-ES"/>
        </w:rPr>
        <w:t xml:space="preserve">/ </w:t>
      </w:r>
      <w:r>
        <w:rPr>
          <w:rFonts w:ascii="Arial Narrow" w:hAnsi="Arial Narrow"/>
          <w:i/>
          <w:sz w:val="14"/>
          <w:szCs w:val="14"/>
          <w:lang w:val="es-ES"/>
        </w:rPr>
        <w:t xml:space="preserve"> </w:t>
      </w:r>
      <w:r w:rsidRPr="00532A19">
        <w:rPr>
          <w:rFonts w:ascii="Arial Narrow" w:hAnsi="Arial Narrow"/>
          <w:i/>
          <w:sz w:val="14"/>
          <w:szCs w:val="14"/>
          <w:lang w:val="es-ES"/>
        </w:rPr>
        <w:t xml:space="preserve"> la nivel naţional</w:t>
      </w:r>
    </w:p>
    <w:p w:rsidR="00F53527" w:rsidRDefault="00F53527" w:rsidP="00F53527">
      <w:pPr>
        <w:pStyle w:val="FootnoteText"/>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rsidP="00E861EE">
    <w:pPr>
      <w:pStyle w:val="Head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rsidR="00793447" w:rsidRDefault="00793447" w:rsidP="00E861EE">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447" w:rsidRDefault="00793447" w:rsidP="00E861EE">
    <w:pPr>
      <w:pStyle w:val="Head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rsidR="00793447" w:rsidRDefault="00793447" w:rsidP="00E861EE">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51B6A87"/>
    <w:multiLevelType w:val="hybridMultilevel"/>
    <w:tmpl w:val="16679BA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E6EEF5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CC9DC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3835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13A1A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1762F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FBA7D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AEC63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9863F1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D0804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8C27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F6342"/>
    <w:multiLevelType w:val="hybridMultilevel"/>
    <w:tmpl w:val="E0BE83D4"/>
    <w:lvl w:ilvl="0" w:tplc="7F600D9A">
      <w:start w:val="1"/>
      <w:numFmt w:val="decimal"/>
      <w:lvlText w:val="13.%1. "/>
      <w:lvlJc w:val="center"/>
      <w:pPr>
        <w:ind w:left="920" w:hanging="360"/>
      </w:pPr>
      <w:rPr>
        <w:rFonts w:ascii="Times New Roman" w:hAnsi="Times New Roman" w:cs="Times New Roman" w:hint="default"/>
        <w:b/>
        <w:i w:val="0"/>
        <w:caps w:val="0"/>
        <w:strike w:val="0"/>
        <w:dstrike w:val="0"/>
        <w:vanish w:val="0"/>
        <w:color w:val="00000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15:restartNumberingAfterBreak="0">
    <w:nsid w:val="092C7F8A"/>
    <w:multiLevelType w:val="hybridMultilevel"/>
    <w:tmpl w:val="304AF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B95B77"/>
    <w:multiLevelType w:val="hybridMultilevel"/>
    <w:tmpl w:val="B35EBB2E"/>
    <w:lvl w:ilvl="0" w:tplc="AD2ABC1A">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91033"/>
    <w:multiLevelType w:val="hybridMultilevel"/>
    <w:tmpl w:val="D31EC8F2"/>
    <w:lvl w:ilvl="0" w:tplc="ED68488A">
      <w:start w:val="1"/>
      <w:numFmt w:val="bullet"/>
      <w:lvlText w:val=""/>
      <w:lvlJc w:val="left"/>
      <w:pPr>
        <w:tabs>
          <w:tab w:val="num" w:pos="717"/>
        </w:tabs>
        <w:ind w:left="717" w:hanging="360"/>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2D7340CE"/>
    <w:multiLevelType w:val="hybridMultilevel"/>
    <w:tmpl w:val="9B081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081AD9"/>
    <w:multiLevelType w:val="multilevel"/>
    <w:tmpl w:val="97DE925E"/>
    <w:lvl w:ilvl="0">
      <w:start w:val="1"/>
      <w:numFmt w:val="decimal"/>
      <w:lvlText w:val="%1."/>
      <w:lvlJc w:val="left"/>
      <w:pPr>
        <w:tabs>
          <w:tab w:val="num" w:pos="795"/>
        </w:tabs>
        <w:ind w:left="795" w:hanging="435"/>
      </w:pPr>
      <w:rPr>
        <w:rFonts w:ascii="Cambria-BoldItalic CE" w:hAnsi="Cambria-BoldItalic CE" w:cs="Cambria-BoldItalic CE"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15:restartNumberingAfterBreak="0">
    <w:nsid w:val="3ACB203D"/>
    <w:multiLevelType w:val="hybridMultilevel"/>
    <w:tmpl w:val="8BFB87D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3EB451AE"/>
    <w:multiLevelType w:val="hybridMultilevel"/>
    <w:tmpl w:val="268AC0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370DB3"/>
    <w:multiLevelType w:val="hybridMultilevel"/>
    <w:tmpl w:val="8F24EBCA"/>
    <w:lvl w:ilvl="0" w:tplc="BD88AFBA">
      <w:start w:val="1"/>
      <w:numFmt w:val="bullet"/>
      <w:lvlText w:val=""/>
      <w:lvlJc w:val="left"/>
      <w:pPr>
        <w:tabs>
          <w:tab w:val="num" w:pos="2401"/>
        </w:tabs>
        <w:ind w:left="2223" w:firstLine="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BE43F6"/>
    <w:multiLevelType w:val="hybridMultilevel"/>
    <w:tmpl w:val="5E3A3D32"/>
    <w:lvl w:ilvl="0" w:tplc="76F067B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FE30B2"/>
    <w:multiLevelType w:val="hybridMultilevel"/>
    <w:tmpl w:val="C34A9E72"/>
    <w:lvl w:ilvl="0" w:tplc="04090005">
      <w:start w:val="1"/>
      <w:numFmt w:val="bullet"/>
      <w:lvlText w:val=""/>
      <w:lvlJc w:val="left"/>
      <w:pPr>
        <w:tabs>
          <w:tab w:val="num" w:pos="1320"/>
        </w:tabs>
        <w:ind w:left="1320" w:hanging="360"/>
      </w:pPr>
      <w:rPr>
        <w:rFonts w:ascii="Wingdings" w:hAnsi="Wingdings" w:hint="default"/>
        <w:sz w:val="24"/>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2" w15:restartNumberingAfterBreak="0">
    <w:nsid w:val="4C1207AA"/>
    <w:multiLevelType w:val="hybridMultilevel"/>
    <w:tmpl w:val="351CF2EC"/>
    <w:lvl w:ilvl="0" w:tplc="5BD0BF44">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53675"/>
    <w:multiLevelType w:val="hybridMultilevel"/>
    <w:tmpl w:val="E400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1D20CA"/>
    <w:multiLevelType w:val="hybridMultilevel"/>
    <w:tmpl w:val="300ED3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CE923FD"/>
    <w:multiLevelType w:val="hybridMultilevel"/>
    <w:tmpl w:val="CBE23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CF733C"/>
    <w:multiLevelType w:val="hybridMultilevel"/>
    <w:tmpl w:val="EE40A77C"/>
    <w:lvl w:ilvl="0" w:tplc="0624FE1A">
      <w:numFmt w:val="bullet"/>
      <w:lvlText w:val="-"/>
      <w:lvlJc w:val="left"/>
      <w:pPr>
        <w:tabs>
          <w:tab w:val="num" w:pos="720"/>
        </w:tabs>
        <w:ind w:left="720" w:hanging="360"/>
      </w:pPr>
      <w:rPr>
        <w:rFonts w:ascii="Cambria" w:eastAsia="Calibri" w:hAnsi="Cambri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925C55"/>
    <w:multiLevelType w:val="hybridMultilevel"/>
    <w:tmpl w:val="0A12A8B2"/>
    <w:lvl w:ilvl="0" w:tplc="BD88AFBA">
      <w:start w:val="1"/>
      <w:numFmt w:val="bullet"/>
      <w:lvlText w:val=""/>
      <w:lvlJc w:val="left"/>
      <w:pPr>
        <w:tabs>
          <w:tab w:val="num" w:pos="178"/>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AD5B70"/>
    <w:multiLevelType w:val="hybridMultilevel"/>
    <w:tmpl w:val="2D904284"/>
    <w:lvl w:ilvl="0" w:tplc="BD88AFBA">
      <w:start w:val="1"/>
      <w:numFmt w:val="bullet"/>
      <w:lvlText w:val=""/>
      <w:lvlJc w:val="left"/>
      <w:pPr>
        <w:tabs>
          <w:tab w:val="num" w:pos="2401"/>
        </w:tabs>
        <w:ind w:left="2223" w:firstLine="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4"/>
  </w:num>
  <w:num w:numId="13">
    <w:abstractNumId w:val="2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5"/>
  </w:num>
  <w:num w:numId="17">
    <w:abstractNumId w:val="21"/>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0"/>
  </w:num>
  <w:num w:numId="21">
    <w:abstractNumId w:val="19"/>
  </w:num>
  <w:num w:numId="22">
    <w:abstractNumId w:val="28"/>
  </w:num>
  <w:num w:numId="23">
    <w:abstractNumId w:val="26"/>
  </w:num>
  <w:num w:numId="24">
    <w:abstractNumId w:val="14"/>
  </w:num>
  <w:num w:numId="25">
    <w:abstractNumId w:val="27"/>
  </w:num>
  <w:num w:numId="26">
    <w:abstractNumId w:val="13"/>
  </w:num>
  <w:num w:numId="27">
    <w:abstractNumId w:val="22"/>
  </w:num>
  <w:num w:numId="28">
    <w:abstractNumId w:val="23"/>
  </w:num>
  <w:num w:numId="29">
    <w:abstractNumId w:val="12"/>
  </w:num>
  <w:num w:numId="30">
    <w:abstractNumId w:val="25"/>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characterSpacingControl w:val="doNotCompress"/>
  <w:savePreviewPicture/>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091"/>
    <w:rsid w:val="0000269F"/>
    <w:rsid w:val="0000433E"/>
    <w:rsid w:val="00004493"/>
    <w:rsid w:val="00004F93"/>
    <w:rsid w:val="00005080"/>
    <w:rsid w:val="00006D59"/>
    <w:rsid w:val="00007B13"/>
    <w:rsid w:val="00010448"/>
    <w:rsid w:val="000137C6"/>
    <w:rsid w:val="000146C4"/>
    <w:rsid w:val="00016310"/>
    <w:rsid w:val="00017BE5"/>
    <w:rsid w:val="00022C8D"/>
    <w:rsid w:val="00023C98"/>
    <w:rsid w:val="00024763"/>
    <w:rsid w:val="00025AF1"/>
    <w:rsid w:val="00030581"/>
    <w:rsid w:val="00030B4B"/>
    <w:rsid w:val="00031C5C"/>
    <w:rsid w:val="00031C84"/>
    <w:rsid w:val="000333F9"/>
    <w:rsid w:val="0003477F"/>
    <w:rsid w:val="00035B22"/>
    <w:rsid w:val="000362E8"/>
    <w:rsid w:val="00040CD5"/>
    <w:rsid w:val="00042CCB"/>
    <w:rsid w:val="0005015E"/>
    <w:rsid w:val="00051039"/>
    <w:rsid w:val="00052959"/>
    <w:rsid w:val="00055BCA"/>
    <w:rsid w:val="000562C2"/>
    <w:rsid w:val="00056E09"/>
    <w:rsid w:val="0006041A"/>
    <w:rsid w:val="00063380"/>
    <w:rsid w:val="00063993"/>
    <w:rsid w:val="000645B1"/>
    <w:rsid w:val="00064A46"/>
    <w:rsid w:val="00065A6C"/>
    <w:rsid w:val="000662D1"/>
    <w:rsid w:val="00067ADD"/>
    <w:rsid w:val="000706C5"/>
    <w:rsid w:val="00071027"/>
    <w:rsid w:val="00071A20"/>
    <w:rsid w:val="00071BFC"/>
    <w:rsid w:val="00072AF5"/>
    <w:rsid w:val="000731E0"/>
    <w:rsid w:val="00075627"/>
    <w:rsid w:val="000764EC"/>
    <w:rsid w:val="00081C0F"/>
    <w:rsid w:val="0008215A"/>
    <w:rsid w:val="00082766"/>
    <w:rsid w:val="00083274"/>
    <w:rsid w:val="000849F7"/>
    <w:rsid w:val="00084CDA"/>
    <w:rsid w:val="00085B8D"/>
    <w:rsid w:val="00090DE4"/>
    <w:rsid w:val="00090EB7"/>
    <w:rsid w:val="00091A4E"/>
    <w:rsid w:val="0009351F"/>
    <w:rsid w:val="0009370A"/>
    <w:rsid w:val="000A3E4F"/>
    <w:rsid w:val="000A5B3A"/>
    <w:rsid w:val="000A5EF7"/>
    <w:rsid w:val="000A5FA1"/>
    <w:rsid w:val="000A72D4"/>
    <w:rsid w:val="000A736F"/>
    <w:rsid w:val="000B17A9"/>
    <w:rsid w:val="000B2A66"/>
    <w:rsid w:val="000B6C2A"/>
    <w:rsid w:val="000B7E19"/>
    <w:rsid w:val="000C00B3"/>
    <w:rsid w:val="000C12E6"/>
    <w:rsid w:val="000C256B"/>
    <w:rsid w:val="000C4A9F"/>
    <w:rsid w:val="000C4E76"/>
    <w:rsid w:val="000C5A1E"/>
    <w:rsid w:val="000C7793"/>
    <w:rsid w:val="000C7AD0"/>
    <w:rsid w:val="000D2017"/>
    <w:rsid w:val="000D370F"/>
    <w:rsid w:val="000D74D2"/>
    <w:rsid w:val="000E10F4"/>
    <w:rsid w:val="000E1F0A"/>
    <w:rsid w:val="000E5CA7"/>
    <w:rsid w:val="000F0C66"/>
    <w:rsid w:val="000F5837"/>
    <w:rsid w:val="000F5C4D"/>
    <w:rsid w:val="000F6593"/>
    <w:rsid w:val="000F753A"/>
    <w:rsid w:val="001007D6"/>
    <w:rsid w:val="00100C8D"/>
    <w:rsid w:val="001018E3"/>
    <w:rsid w:val="001024DC"/>
    <w:rsid w:val="00103779"/>
    <w:rsid w:val="00104016"/>
    <w:rsid w:val="001045E5"/>
    <w:rsid w:val="0010465E"/>
    <w:rsid w:val="00105D6E"/>
    <w:rsid w:val="00114C2E"/>
    <w:rsid w:val="00123356"/>
    <w:rsid w:val="00123835"/>
    <w:rsid w:val="00130691"/>
    <w:rsid w:val="00130BF6"/>
    <w:rsid w:val="00144733"/>
    <w:rsid w:val="00151B9C"/>
    <w:rsid w:val="00151D22"/>
    <w:rsid w:val="00153164"/>
    <w:rsid w:val="001625C3"/>
    <w:rsid w:val="00163AD3"/>
    <w:rsid w:val="00163F02"/>
    <w:rsid w:val="00170541"/>
    <w:rsid w:val="00171787"/>
    <w:rsid w:val="00172DE0"/>
    <w:rsid w:val="001801CF"/>
    <w:rsid w:val="00180580"/>
    <w:rsid w:val="00181BB3"/>
    <w:rsid w:val="00182745"/>
    <w:rsid w:val="00183F31"/>
    <w:rsid w:val="001858EF"/>
    <w:rsid w:val="00185BE2"/>
    <w:rsid w:val="00186174"/>
    <w:rsid w:val="00186E54"/>
    <w:rsid w:val="0018797A"/>
    <w:rsid w:val="00187D74"/>
    <w:rsid w:val="0019211D"/>
    <w:rsid w:val="00192F74"/>
    <w:rsid w:val="00194553"/>
    <w:rsid w:val="0019512D"/>
    <w:rsid w:val="00195737"/>
    <w:rsid w:val="00196E00"/>
    <w:rsid w:val="001A00A5"/>
    <w:rsid w:val="001A06F5"/>
    <w:rsid w:val="001A2661"/>
    <w:rsid w:val="001A2CE4"/>
    <w:rsid w:val="001A37B0"/>
    <w:rsid w:val="001A408B"/>
    <w:rsid w:val="001A4734"/>
    <w:rsid w:val="001A4CA4"/>
    <w:rsid w:val="001A5CB1"/>
    <w:rsid w:val="001A754F"/>
    <w:rsid w:val="001B0DD0"/>
    <w:rsid w:val="001B5DE1"/>
    <w:rsid w:val="001B7038"/>
    <w:rsid w:val="001C02C7"/>
    <w:rsid w:val="001C16BF"/>
    <w:rsid w:val="001C38FC"/>
    <w:rsid w:val="001C54A7"/>
    <w:rsid w:val="001C6671"/>
    <w:rsid w:val="001C7525"/>
    <w:rsid w:val="001C7878"/>
    <w:rsid w:val="001D047A"/>
    <w:rsid w:val="001D1AEC"/>
    <w:rsid w:val="001D2279"/>
    <w:rsid w:val="001D251F"/>
    <w:rsid w:val="001D4926"/>
    <w:rsid w:val="001E04A4"/>
    <w:rsid w:val="001E2BAA"/>
    <w:rsid w:val="001E4AC6"/>
    <w:rsid w:val="001E4F9D"/>
    <w:rsid w:val="001E67CB"/>
    <w:rsid w:val="001E692F"/>
    <w:rsid w:val="001E78A7"/>
    <w:rsid w:val="001E7CC3"/>
    <w:rsid w:val="001F0782"/>
    <w:rsid w:val="001F479D"/>
    <w:rsid w:val="001F5B76"/>
    <w:rsid w:val="001F76ED"/>
    <w:rsid w:val="0020055E"/>
    <w:rsid w:val="00203B51"/>
    <w:rsid w:val="00203C31"/>
    <w:rsid w:val="002048F8"/>
    <w:rsid w:val="00210984"/>
    <w:rsid w:val="00213464"/>
    <w:rsid w:val="00214C24"/>
    <w:rsid w:val="00216937"/>
    <w:rsid w:val="00216B81"/>
    <w:rsid w:val="002211FA"/>
    <w:rsid w:val="002242F7"/>
    <w:rsid w:val="00225320"/>
    <w:rsid w:val="002271A0"/>
    <w:rsid w:val="00227DD9"/>
    <w:rsid w:val="00231015"/>
    <w:rsid w:val="00233D11"/>
    <w:rsid w:val="00237B46"/>
    <w:rsid w:val="00240A4B"/>
    <w:rsid w:val="0024682B"/>
    <w:rsid w:val="002535D1"/>
    <w:rsid w:val="00253646"/>
    <w:rsid w:val="002537F5"/>
    <w:rsid w:val="00257187"/>
    <w:rsid w:val="00260EE8"/>
    <w:rsid w:val="0026210E"/>
    <w:rsid w:val="00263296"/>
    <w:rsid w:val="00266087"/>
    <w:rsid w:val="00266974"/>
    <w:rsid w:val="002726CE"/>
    <w:rsid w:val="00273FBF"/>
    <w:rsid w:val="00275181"/>
    <w:rsid w:val="002752D0"/>
    <w:rsid w:val="002759F2"/>
    <w:rsid w:val="0027620F"/>
    <w:rsid w:val="00280DC0"/>
    <w:rsid w:val="00286656"/>
    <w:rsid w:val="00287E85"/>
    <w:rsid w:val="002928FC"/>
    <w:rsid w:val="002962DE"/>
    <w:rsid w:val="00296A81"/>
    <w:rsid w:val="00296D8D"/>
    <w:rsid w:val="002A420A"/>
    <w:rsid w:val="002A66F5"/>
    <w:rsid w:val="002B23C6"/>
    <w:rsid w:val="002B2C52"/>
    <w:rsid w:val="002C026C"/>
    <w:rsid w:val="002C1375"/>
    <w:rsid w:val="002C2589"/>
    <w:rsid w:val="002C3F51"/>
    <w:rsid w:val="002C47C6"/>
    <w:rsid w:val="002C637E"/>
    <w:rsid w:val="002D422C"/>
    <w:rsid w:val="002D5972"/>
    <w:rsid w:val="002D5C97"/>
    <w:rsid w:val="002D68F0"/>
    <w:rsid w:val="002E1074"/>
    <w:rsid w:val="002E2417"/>
    <w:rsid w:val="002E3FC5"/>
    <w:rsid w:val="002E567E"/>
    <w:rsid w:val="002E60D6"/>
    <w:rsid w:val="002E7D8B"/>
    <w:rsid w:val="002F0736"/>
    <w:rsid w:val="002F0BE7"/>
    <w:rsid w:val="002F147D"/>
    <w:rsid w:val="002F67F0"/>
    <w:rsid w:val="002F6EB9"/>
    <w:rsid w:val="002F7967"/>
    <w:rsid w:val="00301491"/>
    <w:rsid w:val="00301638"/>
    <w:rsid w:val="003035B8"/>
    <w:rsid w:val="00304514"/>
    <w:rsid w:val="00306BBD"/>
    <w:rsid w:val="00307116"/>
    <w:rsid w:val="00307F20"/>
    <w:rsid w:val="00310B0E"/>
    <w:rsid w:val="003117BD"/>
    <w:rsid w:val="00312638"/>
    <w:rsid w:val="0031379F"/>
    <w:rsid w:val="00315E7E"/>
    <w:rsid w:val="00316B95"/>
    <w:rsid w:val="0032058F"/>
    <w:rsid w:val="00320C77"/>
    <w:rsid w:val="003213AE"/>
    <w:rsid w:val="0032224C"/>
    <w:rsid w:val="00323D8D"/>
    <w:rsid w:val="003251BD"/>
    <w:rsid w:val="00327539"/>
    <w:rsid w:val="003277BC"/>
    <w:rsid w:val="00330A8A"/>
    <w:rsid w:val="003400BB"/>
    <w:rsid w:val="00341AE5"/>
    <w:rsid w:val="00342F02"/>
    <w:rsid w:val="003468A1"/>
    <w:rsid w:val="00347A55"/>
    <w:rsid w:val="00347FF2"/>
    <w:rsid w:val="0035133B"/>
    <w:rsid w:val="0035490E"/>
    <w:rsid w:val="00357586"/>
    <w:rsid w:val="0036021D"/>
    <w:rsid w:val="00360A7C"/>
    <w:rsid w:val="0036590D"/>
    <w:rsid w:val="00367E51"/>
    <w:rsid w:val="00371D96"/>
    <w:rsid w:val="00372D61"/>
    <w:rsid w:val="003748F6"/>
    <w:rsid w:val="00375B28"/>
    <w:rsid w:val="00376BDD"/>
    <w:rsid w:val="00377A43"/>
    <w:rsid w:val="00377EE5"/>
    <w:rsid w:val="0038173B"/>
    <w:rsid w:val="003850A8"/>
    <w:rsid w:val="00386827"/>
    <w:rsid w:val="0038705F"/>
    <w:rsid w:val="003877BA"/>
    <w:rsid w:val="00390AAB"/>
    <w:rsid w:val="003918DC"/>
    <w:rsid w:val="00393BE6"/>
    <w:rsid w:val="003944AE"/>
    <w:rsid w:val="00395751"/>
    <w:rsid w:val="003A22B7"/>
    <w:rsid w:val="003A3805"/>
    <w:rsid w:val="003B050F"/>
    <w:rsid w:val="003B1421"/>
    <w:rsid w:val="003B16A2"/>
    <w:rsid w:val="003B2874"/>
    <w:rsid w:val="003B5FD4"/>
    <w:rsid w:val="003B7DAA"/>
    <w:rsid w:val="003C07BA"/>
    <w:rsid w:val="003C0C54"/>
    <w:rsid w:val="003C100C"/>
    <w:rsid w:val="003C18D9"/>
    <w:rsid w:val="003C3A00"/>
    <w:rsid w:val="003C4BBA"/>
    <w:rsid w:val="003C52E4"/>
    <w:rsid w:val="003C7EEA"/>
    <w:rsid w:val="003D1429"/>
    <w:rsid w:val="003D4306"/>
    <w:rsid w:val="003D5DB2"/>
    <w:rsid w:val="003E0DE5"/>
    <w:rsid w:val="003E251F"/>
    <w:rsid w:val="003E27DE"/>
    <w:rsid w:val="003E2E18"/>
    <w:rsid w:val="003E2FE6"/>
    <w:rsid w:val="003E3075"/>
    <w:rsid w:val="003E3B84"/>
    <w:rsid w:val="003E43A2"/>
    <w:rsid w:val="003E508E"/>
    <w:rsid w:val="003E53C9"/>
    <w:rsid w:val="003E59B6"/>
    <w:rsid w:val="003E59EB"/>
    <w:rsid w:val="003E629C"/>
    <w:rsid w:val="003E62C6"/>
    <w:rsid w:val="003E6756"/>
    <w:rsid w:val="003E6DD8"/>
    <w:rsid w:val="003E77BB"/>
    <w:rsid w:val="003F0065"/>
    <w:rsid w:val="003F28B9"/>
    <w:rsid w:val="003F4C92"/>
    <w:rsid w:val="003F7B02"/>
    <w:rsid w:val="00400595"/>
    <w:rsid w:val="00400670"/>
    <w:rsid w:val="00400A25"/>
    <w:rsid w:val="0040169A"/>
    <w:rsid w:val="004024A4"/>
    <w:rsid w:val="00403EEE"/>
    <w:rsid w:val="00403FDF"/>
    <w:rsid w:val="00404478"/>
    <w:rsid w:val="004045B4"/>
    <w:rsid w:val="00410EFB"/>
    <w:rsid w:val="00415BC4"/>
    <w:rsid w:val="00415E54"/>
    <w:rsid w:val="00417345"/>
    <w:rsid w:val="00420367"/>
    <w:rsid w:val="00421A3C"/>
    <w:rsid w:val="004268E6"/>
    <w:rsid w:val="00426BA0"/>
    <w:rsid w:val="00427C8E"/>
    <w:rsid w:val="004312BB"/>
    <w:rsid w:val="00431589"/>
    <w:rsid w:val="00435295"/>
    <w:rsid w:val="0043595C"/>
    <w:rsid w:val="00435F13"/>
    <w:rsid w:val="00437BEA"/>
    <w:rsid w:val="00441B45"/>
    <w:rsid w:val="00441F64"/>
    <w:rsid w:val="00442546"/>
    <w:rsid w:val="0044338B"/>
    <w:rsid w:val="00443B1C"/>
    <w:rsid w:val="00443BA6"/>
    <w:rsid w:val="00443CBB"/>
    <w:rsid w:val="00446352"/>
    <w:rsid w:val="004475F9"/>
    <w:rsid w:val="00450698"/>
    <w:rsid w:val="00450DCB"/>
    <w:rsid w:val="00450FC3"/>
    <w:rsid w:val="00452372"/>
    <w:rsid w:val="00453020"/>
    <w:rsid w:val="00454151"/>
    <w:rsid w:val="00457325"/>
    <w:rsid w:val="00457EF0"/>
    <w:rsid w:val="00460DC6"/>
    <w:rsid w:val="00463A03"/>
    <w:rsid w:val="004643FA"/>
    <w:rsid w:val="00471E74"/>
    <w:rsid w:val="00472442"/>
    <w:rsid w:val="004725BD"/>
    <w:rsid w:val="0047264B"/>
    <w:rsid w:val="00473169"/>
    <w:rsid w:val="00474D17"/>
    <w:rsid w:val="0047558C"/>
    <w:rsid w:val="00481ACF"/>
    <w:rsid w:val="00484B3E"/>
    <w:rsid w:val="00486D69"/>
    <w:rsid w:val="004909FC"/>
    <w:rsid w:val="004912A1"/>
    <w:rsid w:val="00492B5A"/>
    <w:rsid w:val="0049391F"/>
    <w:rsid w:val="00494346"/>
    <w:rsid w:val="0049471A"/>
    <w:rsid w:val="004950AF"/>
    <w:rsid w:val="004A0234"/>
    <w:rsid w:val="004A15E5"/>
    <w:rsid w:val="004A23A7"/>
    <w:rsid w:val="004A26ED"/>
    <w:rsid w:val="004A3FFD"/>
    <w:rsid w:val="004A4C4A"/>
    <w:rsid w:val="004A56B8"/>
    <w:rsid w:val="004A6F43"/>
    <w:rsid w:val="004A7300"/>
    <w:rsid w:val="004B05BC"/>
    <w:rsid w:val="004B1ACC"/>
    <w:rsid w:val="004B7335"/>
    <w:rsid w:val="004C1195"/>
    <w:rsid w:val="004C21A5"/>
    <w:rsid w:val="004C2937"/>
    <w:rsid w:val="004C2B82"/>
    <w:rsid w:val="004C4FB0"/>
    <w:rsid w:val="004C5748"/>
    <w:rsid w:val="004D1EFA"/>
    <w:rsid w:val="004D244B"/>
    <w:rsid w:val="004D31B8"/>
    <w:rsid w:val="004D3583"/>
    <w:rsid w:val="004D3BAC"/>
    <w:rsid w:val="004D4836"/>
    <w:rsid w:val="004E0D42"/>
    <w:rsid w:val="004E0E99"/>
    <w:rsid w:val="004E2A70"/>
    <w:rsid w:val="004E5430"/>
    <w:rsid w:val="004F0B8B"/>
    <w:rsid w:val="004F0BAD"/>
    <w:rsid w:val="004F32C1"/>
    <w:rsid w:val="004F413F"/>
    <w:rsid w:val="004F54A4"/>
    <w:rsid w:val="004F5D2C"/>
    <w:rsid w:val="004F7EBF"/>
    <w:rsid w:val="005002CF"/>
    <w:rsid w:val="005015F5"/>
    <w:rsid w:val="00501E37"/>
    <w:rsid w:val="00503FA2"/>
    <w:rsid w:val="005069EB"/>
    <w:rsid w:val="0050727F"/>
    <w:rsid w:val="005137F8"/>
    <w:rsid w:val="0051387D"/>
    <w:rsid w:val="00517EC6"/>
    <w:rsid w:val="00521979"/>
    <w:rsid w:val="00521A88"/>
    <w:rsid w:val="00522A87"/>
    <w:rsid w:val="00523B53"/>
    <w:rsid w:val="00530AB3"/>
    <w:rsid w:val="00530BD7"/>
    <w:rsid w:val="00530D38"/>
    <w:rsid w:val="00531544"/>
    <w:rsid w:val="0053260D"/>
    <w:rsid w:val="00534D11"/>
    <w:rsid w:val="00535BFC"/>
    <w:rsid w:val="0053700E"/>
    <w:rsid w:val="0054033C"/>
    <w:rsid w:val="005424AB"/>
    <w:rsid w:val="00544088"/>
    <w:rsid w:val="00544A5F"/>
    <w:rsid w:val="00544AD3"/>
    <w:rsid w:val="00544F01"/>
    <w:rsid w:val="00545F6E"/>
    <w:rsid w:val="00546745"/>
    <w:rsid w:val="00552566"/>
    <w:rsid w:val="0055679F"/>
    <w:rsid w:val="00556F5E"/>
    <w:rsid w:val="005575FE"/>
    <w:rsid w:val="00557D46"/>
    <w:rsid w:val="00562870"/>
    <w:rsid w:val="005628A9"/>
    <w:rsid w:val="0056328B"/>
    <w:rsid w:val="00563BE7"/>
    <w:rsid w:val="0056737E"/>
    <w:rsid w:val="005717FB"/>
    <w:rsid w:val="0057273F"/>
    <w:rsid w:val="00573C77"/>
    <w:rsid w:val="005753CA"/>
    <w:rsid w:val="00576761"/>
    <w:rsid w:val="00576CA9"/>
    <w:rsid w:val="00577546"/>
    <w:rsid w:val="00577D42"/>
    <w:rsid w:val="00583751"/>
    <w:rsid w:val="00583A47"/>
    <w:rsid w:val="00586F1F"/>
    <w:rsid w:val="00590470"/>
    <w:rsid w:val="00591C60"/>
    <w:rsid w:val="005A0D02"/>
    <w:rsid w:val="005A23AD"/>
    <w:rsid w:val="005A2BDD"/>
    <w:rsid w:val="005A3AFD"/>
    <w:rsid w:val="005A45DE"/>
    <w:rsid w:val="005A46E3"/>
    <w:rsid w:val="005A6F0E"/>
    <w:rsid w:val="005B07C9"/>
    <w:rsid w:val="005B15C4"/>
    <w:rsid w:val="005B2F4B"/>
    <w:rsid w:val="005B40AC"/>
    <w:rsid w:val="005B58E8"/>
    <w:rsid w:val="005B7DE3"/>
    <w:rsid w:val="005C0211"/>
    <w:rsid w:val="005C05D8"/>
    <w:rsid w:val="005C10ED"/>
    <w:rsid w:val="005C27C1"/>
    <w:rsid w:val="005C3A88"/>
    <w:rsid w:val="005C42FD"/>
    <w:rsid w:val="005C47EA"/>
    <w:rsid w:val="005C5271"/>
    <w:rsid w:val="005C5981"/>
    <w:rsid w:val="005C5F71"/>
    <w:rsid w:val="005D7BEA"/>
    <w:rsid w:val="005E0111"/>
    <w:rsid w:val="005E07A9"/>
    <w:rsid w:val="005E402B"/>
    <w:rsid w:val="005E4472"/>
    <w:rsid w:val="005E55B6"/>
    <w:rsid w:val="005F12BD"/>
    <w:rsid w:val="005F4B88"/>
    <w:rsid w:val="005F67BB"/>
    <w:rsid w:val="00602602"/>
    <w:rsid w:val="0060306D"/>
    <w:rsid w:val="00604CB2"/>
    <w:rsid w:val="006064A4"/>
    <w:rsid w:val="00607F01"/>
    <w:rsid w:val="006101D2"/>
    <w:rsid w:val="0061463D"/>
    <w:rsid w:val="00617E79"/>
    <w:rsid w:val="00620BC2"/>
    <w:rsid w:val="00621BBE"/>
    <w:rsid w:val="0062237B"/>
    <w:rsid w:val="00625556"/>
    <w:rsid w:val="006255CD"/>
    <w:rsid w:val="00627772"/>
    <w:rsid w:val="00633965"/>
    <w:rsid w:val="00633CB6"/>
    <w:rsid w:val="00633DC5"/>
    <w:rsid w:val="00635F09"/>
    <w:rsid w:val="00640834"/>
    <w:rsid w:val="00640A13"/>
    <w:rsid w:val="006434B9"/>
    <w:rsid w:val="00647C67"/>
    <w:rsid w:val="00650430"/>
    <w:rsid w:val="0065172E"/>
    <w:rsid w:val="006524B8"/>
    <w:rsid w:val="00652A04"/>
    <w:rsid w:val="00653CD6"/>
    <w:rsid w:val="006540FD"/>
    <w:rsid w:val="00654580"/>
    <w:rsid w:val="00655316"/>
    <w:rsid w:val="006602D7"/>
    <w:rsid w:val="006615D8"/>
    <w:rsid w:val="00663093"/>
    <w:rsid w:val="00663F08"/>
    <w:rsid w:val="00666D70"/>
    <w:rsid w:val="00670192"/>
    <w:rsid w:val="006707D8"/>
    <w:rsid w:val="00670937"/>
    <w:rsid w:val="006720DB"/>
    <w:rsid w:val="00674F95"/>
    <w:rsid w:val="006753E6"/>
    <w:rsid w:val="00675C38"/>
    <w:rsid w:val="00676C9E"/>
    <w:rsid w:val="00681755"/>
    <w:rsid w:val="006904EC"/>
    <w:rsid w:val="00690FBA"/>
    <w:rsid w:val="00696AE9"/>
    <w:rsid w:val="00697A23"/>
    <w:rsid w:val="00697DEA"/>
    <w:rsid w:val="006A0111"/>
    <w:rsid w:val="006A0308"/>
    <w:rsid w:val="006A64AB"/>
    <w:rsid w:val="006A7D63"/>
    <w:rsid w:val="006A7E14"/>
    <w:rsid w:val="006B581D"/>
    <w:rsid w:val="006B68F0"/>
    <w:rsid w:val="006C0B44"/>
    <w:rsid w:val="006C1804"/>
    <w:rsid w:val="006C2C07"/>
    <w:rsid w:val="006C65F7"/>
    <w:rsid w:val="006C7D81"/>
    <w:rsid w:val="006D0D4C"/>
    <w:rsid w:val="006D1D30"/>
    <w:rsid w:val="006D71FA"/>
    <w:rsid w:val="006E0030"/>
    <w:rsid w:val="006E027F"/>
    <w:rsid w:val="006E1513"/>
    <w:rsid w:val="006E194F"/>
    <w:rsid w:val="006E215F"/>
    <w:rsid w:val="006E28AA"/>
    <w:rsid w:val="006E2B7D"/>
    <w:rsid w:val="006E52F1"/>
    <w:rsid w:val="006E720A"/>
    <w:rsid w:val="006F4456"/>
    <w:rsid w:val="006F4DD9"/>
    <w:rsid w:val="00702835"/>
    <w:rsid w:val="007055A7"/>
    <w:rsid w:val="00711A63"/>
    <w:rsid w:val="00711B79"/>
    <w:rsid w:val="00714C9D"/>
    <w:rsid w:val="00714D13"/>
    <w:rsid w:val="0072155F"/>
    <w:rsid w:val="00722F53"/>
    <w:rsid w:val="00723928"/>
    <w:rsid w:val="00723EC5"/>
    <w:rsid w:val="0073157D"/>
    <w:rsid w:val="007320A5"/>
    <w:rsid w:val="00735B7B"/>
    <w:rsid w:val="007361E3"/>
    <w:rsid w:val="00736C04"/>
    <w:rsid w:val="0074143E"/>
    <w:rsid w:val="00742091"/>
    <w:rsid w:val="00742595"/>
    <w:rsid w:val="007435CB"/>
    <w:rsid w:val="0074458F"/>
    <w:rsid w:val="00744603"/>
    <w:rsid w:val="00754165"/>
    <w:rsid w:val="00755062"/>
    <w:rsid w:val="00762BB5"/>
    <w:rsid w:val="00763885"/>
    <w:rsid w:val="00764823"/>
    <w:rsid w:val="00765490"/>
    <w:rsid w:val="0076637E"/>
    <w:rsid w:val="00767B3E"/>
    <w:rsid w:val="00767B6B"/>
    <w:rsid w:val="007731DF"/>
    <w:rsid w:val="00773D7C"/>
    <w:rsid w:val="00773FC8"/>
    <w:rsid w:val="00775776"/>
    <w:rsid w:val="00777E73"/>
    <w:rsid w:val="00782502"/>
    <w:rsid w:val="00782ACD"/>
    <w:rsid w:val="00787030"/>
    <w:rsid w:val="00787925"/>
    <w:rsid w:val="00790583"/>
    <w:rsid w:val="00790E6C"/>
    <w:rsid w:val="00793447"/>
    <w:rsid w:val="0079411C"/>
    <w:rsid w:val="00794193"/>
    <w:rsid w:val="007955B0"/>
    <w:rsid w:val="00797218"/>
    <w:rsid w:val="007A0FD7"/>
    <w:rsid w:val="007A218D"/>
    <w:rsid w:val="007A522B"/>
    <w:rsid w:val="007A5AA0"/>
    <w:rsid w:val="007A5AA9"/>
    <w:rsid w:val="007A6FED"/>
    <w:rsid w:val="007B0AF9"/>
    <w:rsid w:val="007B3B5A"/>
    <w:rsid w:val="007B4225"/>
    <w:rsid w:val="007B5C0F"/>
    <w:rsid w:val="007B6EFE"/>
    <w:rsid w:val="007C07C7"/>
    <w:rsid w:val="007C2F5A"/>
    <w:rsid w:val="007C6F7A"/>
    <w:rsid w:val="007C7675"/>
    <w:rsid w:val="007D242F"/>
    <w:rsid w:val="007D251C"/>
    <w:rsid w:val="007D5D5E"/>
    <w:rsid w:val="007E1E2B"/>
    <w:rsid w:val="007E328F"/>
    <w:rsid w:val="007E36F2"/>
    <w:rsid w:val="007E3BA6"/>
    <w:rsid w:val="007E3F2E"/>
    <w:rsid w:val="007E4699"/>
    <w:rsid w:val="007E5044"/>
    <w:rsid w:val="007F0157"/>
    <w:rsid w:val="007F0A3E"/>
    <w:rsid w:val="007F2CC3"/>
    <w:rsid w:val="007F4F27"/>
    <w:rsid w:val="007F5885"/>
    <w:rsid w:val="0080017C"/>
    <w:rsid w:val="00804050"/>
    <w:rsid w:val="00805E46"/>
    <w:rsid w:val="00806765"/>
    <w:rsid w:val="00807EC0"/>
    <w:rsid w:val="008119E1"/>
    <w:rsid w:val="0081414A"/>
    <w:rsid w:val="00815ADD"/>
    <w:rsid w:val="00816271"/>
    <w:rsid w:val="0081676D"/>
    <w:rsid w:val="00816973"/>
    <w:rsid w:val="00825589"/>
    <w:rsid w:val="008262DB"/>
    <w:rsid w:val="00832EB3"/>
    <w:rsid w:val="00834136"/>
    <w:rsid w:val="00834D41"/>
    <w:rsid w:val="00837001"/>
    <w:rsid w:val="00837641"/>
    <w:rsid w:val="00840F25"/>
    <w:rsid w:val="00841528"/>
    <w:rsid w:val="00842E1F"/>
    <w:rsid w:val="00845BD4"/>
    <w:rsid w:val="00847378"/>
    <w:rsid w:val="00847F1E"/>
    <w:rsid w:val="0085174B"/>
    <w:rsid w:val="00851ADB"/>
    <w:rsid w:val="00851B0B"/>
    <w:rsid w:val="0085351C"/>
    <w:rsid w:val="008622A8"/>
    <w:rsid w:val="00864705"/>
    <w:rsid w:val="00865F13"/>
    <w:rsid w:val="00866731"/>
    <w:rsid w:val="00866CA0"/>
    <w:rsid w:val="00867B81"/>
    <w:rsid w:val="00870E7B"/>
    <w:rsid w:val="00871D27"/>
    <w:rsid w:val="00872479"/>
    <w:rsid w:val="008739FC"/>
    <w:rsid w:val="00873BB2"/>
    <w:rsid w:val="0087405B"/>
    <w:rsid w:val="00875777"/>
    <w:rsid w:val="00875DFC"/>
    <w:rsid w:val="00875FF4"/>
    <w:rsid w:val="00885FEE"/>
    <w:rsid w:val="00886CE1"/>
    <w:rsid w:val="00887C1C"/>
    <w:rsid w:val="0089152C"/>
    <w:rsid w:val="00891E0A"/>
    <w:rsid w:val="00892A02"/>
    <w:rsid w:val="00893F4B"/>
    <w:rsid w:val="00894573"/>
    <w:rsid w:val="008A1311"/>
    <w:rsid w:val="008A2BDB"/>
    <w:rsid w:val="008A2CA2"/>
    <w:rsid w:val="008A36F2"/>
    <w:rsid w:val="008A543F"/>
    <w:rsid w:val="008A718C"/>
    <w:rsid w:val="008A7993"/>
    <w:rsid w:val="008B0E4B"/>
    <w:rsid w:val="008B10AC"/>
    <w:rsid w:val="008B16A7"/>
    <w:rsid w:val="008B2F95"/>
    <w:rsid w:val="008B38FD"/>
    <w:rsid w:val="008B550A"/>
    <w:rsid w:val="008B5D08"/>
    <w:rsid w:val="008C151F"/>
    <w:rsid w:val="008D1011"/>
    <w:rsid w:val="008D2124"/>
    <w:rsid w:val="008D26CB"/>
    <w:rsid w:val="008D3BF7"/>
    <w:rsid w:val="008D48BB"/>
    <w:rsid w:val="008D562E"/>
    <w:rsid w:val="008D569A"/>
    <w:rsid w:val="008D58DD"/>
    <w:rsid w:val="008D5BC5"/>
    <w:rsid w:val="008D62C5"/>
    <w:rsid w:val="008D6613"/>
    <w:rsid w:val="008D7107"/>
    <w:rsid w:val="008D793C"/>
    <w:rsid w:val="008E0091"/>
    <w:rsid w:val="008E0869"/>
    <w:rsid w:val="008E2978"/>
    <w:rsid w:val="008E4423"/>
    <w:rsid w:val="008E60BB"/>
    <w:rsid w:val="008F16C5"/>
    <w:rsid w:val="008F39A3"/>
    <w:rsid w:val="008F3B1F"/>
    <w:rsid w:val="008F403C"/>
    <w:rsid w:val="008F4186"/>
    <w:rsid w:val="008F715C"/>
    <w:rsid w:val="00902BBB"/>
    <w:rsid w:val="00903057"/>
    <w:rsid w:val="009033B8"/>
    <w:rsid w:val="00903473"/>
    <w:rsid w:val="009037FC"/>
    <w:rsid w:val="0090566C"/>
    <w:rsid w:val="00905770"/>
    <w:rsid w:val="00906681"/>
    <w:rsid w:val="0090765D"/>
    <w:rsid w:val="00907C87"/>
    <w:rsid w:val="00910383"/>
    <w:rsid w:val="00910FB0"/>
    <w:rsid w:val="00911EBF"/>
    <w:rsid w:val="009120B2"/>
    <w:rsid w:val="00912995"/>
    <w:rsid w:val="009218F1"/>
    <w:rsid w:val="00923829"/>
    <w:rsid w:val="00927410"/>
    <w:rsid w:val="00930B66"/>
    <w:rsid w:val="00931084"/>
    <w:rsid w:val="009338D4"/>
    <w:rsid w:val="00933998"/>
    <w:rsid w:val="00934846"/>
    <w:rsid w:val="00934B1A"/>
    <w:rsid w:val="009356AF"/>
    <w:rsid w:val="00941700"/>
    <w:rsid w:val="00941C7B"/>
    <w:rsid w:val="00946322"/>
    <w:rsid w:val="00946D3B"/>
    <w:rsid w:val="00947AAF"/>
    <w:rsid w:val="00951055"/>
    <w:rsid w:val="00953B72"/>
    <w:rsid w:val="00956BC8"/>
    <w:rsid w:val="0096063A"/>
    <w:rsid w:val="00960B14"/>
    <w:rsid w:val="009612BA"/>
    <w:rsid w:val="00962937"/>
    <w:rsid w:val="009640A5"/>
    <w:rsid w:val="009673A0"/>
    <w:rsid w:val="0097069E"/>
    <w:rsid w:val="00971308"/>
    <w:rsid w:val="00973A03"/>
    <w:rsid w:val="009744FF"/>
    <w:rsid w:val="0097571B"/>
    <w:rsid w:val="0097593D"/>
    <w:rsid w:val="00975A02"/>
    <w:rsid w:val="00976453"/>
    <w:rsid w:val="009815C6"/>
    <w:rsid w:val="00981DFB"/>
    <w:rsid w:val="00983121"/>
    <w:rsid w:val="009833BE"/>
    <w:rsid w:val="00983C4C"/>
    <w:rsid w:val="00987674"/>
    <w:rsid w:val="00991112"/>
    <w:rsid w:val="00994036"/>
    <w:rsid w:val="00994AAB"/>
    <w:rsid w:val="00995783"/>
    <w:rsid w:val="00995E80"/>
    <w:rsid w:val="009964FE"/>
    <w:rsid w:val="009978B9"/>
    <w:rsid w:val="009A7FD4"/>
    <w:rsid w:val="009B45EA"/>
    <w:rsid w:val="009B5FDB"/>
    <w:rsid w:val="009B653E"/>
    <w:rsid w:val="009C00BC"/>
    <w:rsid w:val="009C18A9"/>
    <w:rsid w:val="009C1AA1"/>
    <w:rsid w:val="009C1D7D"/>
    <w:rsid w:val="009C265E"/>
    <w:rsid w:val="009C45AE"/>
    <w:rsid w:val="009C529D"/>
    <w:rsid w:val="009C68B7"/>
    <w:rsid w:val="009C6AE6"/>
    <w:rsid w:val="009D0975"/>
    <w:rsid w:val="009D1E0F"/>
    <w:rsid w:val="009D395A"/>
    <w:rsid w:val="009D4962"/>
    <w:rsid w:val="009D4E86"/>
    <w:rsid w:val="009D66D9"/>
    <w:rsid w:val="009D6AF4"/>
    <w:rsid w:val="009D71F2"/>
    <w:rsid w:val="009D7228"/>
    <w:rsid w:val="009E09CB"/>
    <w:rsid w:val="009E1251"/>
    <w:rsid w:val="009E3D50"/>
    <w:rsid w:val="009E3F4A"/>
    <w:rsid w:val="009E75FA"/>
    <w:rsid w:val="009E7B58"/>
    <w:rsid w:val="009F0683"/>
    <w:rsid w:val="009F34FE"/>
    <w:rsid w:val="009F6B3D"/>
    <w:rsid w:val="009F6DE1"/>
    <w:rsid w:val="009F6F06"/>
    <w:rsid w:val="00A00659"/>
    <w:rsid w:val="00A119D1"/>
    <w:rsid w:val="00A146A6"/>
    <w:rsid w:val="00A14FCB"/>
    <w:rsid w:val="00A17462"/>
    <w:rsid w:val="00A23FE2"/>
    <w:rsid w:val="00A24AEC"/>
    <w:rsid w:val="00A24CB6"/>
    <w:rsid w:val="00A25CBA"/>
    <w:rsid w:val="00A26635"/>
    <w:rsid w:val="00A26678"/>
    <w:rsid w:val="00A2704C"/>
    <w:rsid w:val="00A30A78"/>
    <w:rsid w:val="00A31DFC"/>
    <w:rsid w:val="00A3519A"/>
    <w:rsid w:val="00A364BE"/>
    <w:rsid w:val="00A43BA4"/>
    <w:rsid w:val="00A473EE"/>
    <w:rsid w:val="00A47FB7"/>
    <w:rsid w:val="00A508B7"/>
    <w:rsid w:val="00A51945"/>
    <w:rsid w:val="00A52367"/>
    <w:rsid w:val="00A553F5"/>
    <w:rsid w:val="00A5685C"/>
    <w:rsid w:val="00A5702B"/>
    <w:rsid w:val="00A61879"/>
    <w:rsid w:val="00A62C63"/>
    <w:rsid w:val="00A645BA"/>
    <w:rsid w:val="00A64CB3"/>
    <w:rsid w:val="00A66CD0"/>
    <w:rsid w:val="00A67805"/>
    <w:rsid w:val="00A708DF"/>
    <w:rsid w:val="00A717DA"/>
    <w:rsid w:val="00A72303"/>
    <w:rsid w:val="00A73AD7"/>
    <w:rsid w:val="00A74DA5"/>
    <w:rsid w:val="00A76286"/>
    <w:rsid w:val="00A76FA0"/>
    <w:rsid w:val="00A807B1"/>
    <w:rsid w:val="00A847AB"/>
    <w:rsid w:val="00A85A11"/>
    <w:rsid w:val="00A86A81"/>
    <w:rsid w:val="00A86F2E"/>
    <w:rsid w:val="00A90674"/>
    <w:rsid w:val="00A90D6F"/>
    <w:rsid w:val="00A90E1C"/>
    <w:rsid w:val="00A91510"/>
    <w:rsid w:val="00A91949"/>
    <w:rsid w:val="00A9215A"/>
    <w:rsid w:val="00A924EA"/>
    <w:rsid w:val="00A94061"/>
    <w:rsid w:val="00A944D6"/>
    <w:rsid w:val="00A947CE"/>
    <w:rsid w:val="00A95566"/>
    <w:rsid w:val="00A96739"/>
    <w:rsid w:val="00AA0071"/>
    <w:rsid w:val="00AA0250"/>
    <w:rsid w:val="00AA0357"/>
    <w:rsid w:val="00AA0B71"/>
    <w:rsid w:val="00AA3271"/>
    <w:rsid w:val="00AA50DF"/>
    <w:rsid w:val="00AA5A05"/>
    <w:rsid w:val="00AA64C7"/>
    <w:rsid w:val="00AA6F1C"/>
    <w:rsid w:val="00AB0AA8"/>
    <w:rsid w:val="00AB0B6A"/>
    <w:rsid w:val="00AB152D"/>
    <w:rsid w:val="00AB1D39"/>
    <w:rsid w:val="00AB4AC1"/>
    <w:rsid w:val="00AB5907"/>
    <w:rsid w:val="00AB6855"/>
    <w:rsid w:val="00AC0E04"/>
    <w:rsid w:val="00AC41EA"/>
    <w:rsid w:val="00AC4843"/>
    <w:rsid w:val="00AC5773"/>
    <w:rsid w:val="00AC6434"/>
    <w:rsid w:val="00AC660A"/>
    <w:rsid w:val="00AC69EF"/>
    <w:rsid w:val="00AC7ED0"/>
    <w:rsid w:val="00AD5130"/>
    <w:rsid w:val="00AD7B8D"/>
    <w:rsid w:val="00AE0770"/>
    <w:rsid w:val="00AE1FF6"/>
    <w:rsid w:val="00AE2D21"/>
    <w:rsid w:val="00AE3951"/>
    <w:rsid w:val="00AE4460"/>
    <w:rsid w:val="00AF0A15"/>
    <w:rsid w:val="00AF14A9"/>
    <w:rsid w:val="00AF364C"/>
    <w:rsid w:val="00AF4EEE"/>
    <w:rsid w:val="00AF5250"/>
    <w:rsid w:val="00B01E3A"/>
    <w:rsid w:val="00B042D9"/>
    <w:rsid w:val="00B055C0"/>
    <w:rsid w:val="00B1024F"/>
    <w:rsid w:val="00B102DF"/>
    <w:rsid w:val="00B10441"/>
    <w:rsid w:val="00B10C46"/>
    <w:rsid w:val="00B1253E"/>
    <w:rsid w:val="00B12DC3"/>
    <w:rsid w:val="00B15430"/>
    <w:rsid w:val="00B160D8"/>
    <w:rsid w:val="00B21846"/>
    <w:rsid w:val="00B21D9F"/>
    <w:rsid w:val="00B2606A"/>
    <w:rsid w:val="00B311E4"/>
    <w:rsid w:val="00B3480B"/>
    <w:rsid w:val="00B3522A"/>
    <w:rsid w:val="00B35393"/>
    <w:rsid w:val="00B359C9"/>
    <w:rsid w:val="00B375FE"/>
    <w:rsid w:val="00B37D81"/>
    <w:rsid w:val="00B37F1C"/>
    <w:rsid w:val="00B426FE"/>
    <w:rsid w:val="00B42C2C"/>
    <w:rsid w:val="00B45158"/>
    <w:rsid w:val="00B458BA"/>
    <w:rsid w:val="00B46517"/>
    <w:rsid w:val="00B50D58"/>
    <w:rsid w:val="00B531DD"/>
    <w:rsid w:val="00B552DF"/>
    <w:rsid w:val="00B55B69"/>
    <w:rsid w:val="00B5739D"/>
    <w:rsid w:val="00B5794C"/>
    <w:rsid w:val="00B62876"/>
    <w:rsid w:val="00B62F96"/>
    <w:rsid w:val="00B665EF"/>
    <w:rsid w:val="00B67C44"/>
    <w:rsid w:val="00B67E7A"/>
    <w:rsid w:val="00B71D45"/>
    <w:rsid w:val="00B726F3"/>
    <w:rsid w:val="00B731FD"/>
    <w:rsid w:val="00B74D3C"/>
    <w:rsid w:val="00B80B2E"/>
    <w:rsid w:val="00B82ED0"/>
    <w:rsid w:val="00B837AF"/>
    <w:rsid w:val="00B9148C"/>
    <w:rsid w:val="00B92FCD"/>
    <w:rsid w:val="00B932E3"/>
    <w:rsid w:val="00B95028"/>
    <w:rsid w:val="00B9534B"/>
    <w:rsid w:val="00B970C2"/>
    <w:rsid w:val="00BA03F6"/>
    <w:rsid w:val="00BA0FB0"/>
    <w:rsid w:val="00BA2F7B"/>
    <w:rsid w:val="00BA340F"/>
    <w:rsid w:val="00BA6F3A"/>
    <w:rsid w:val="00BA70A1"/>
    <w:rsid w:val="00BA7449"/>
    <w:rsid w:val="00BA7A8F"/>
    <w:rsid w:val="00BB5EBB"/>
    <w:rsid w:val="00BC182F"/>
    <w:rsid w:val="00BC5945"/>
    <w:rsid w:val="00BC5A3E"/>
    <w:rsid w:val="00BD0667"/>
    <w:rsid w:val="00BD145E"/>
    <w:rsid w:val="00BD25A2"/>
    <w:rsid w:val="00BD42F2"/>
    <w:rsid w:val="00BD4875"/>
    <w:rsid w:val="00BD513D"/>
    <w:rsid w:val="00BD5FB6"/>
    <w:rsid w:val="00BD6675"/>
    <w:rsid w:val="00BD6CD3"/>
    <w:rsid w:val="00BD6F77"/>
    <w:rsid w:val="00BD7FA9"/>
    <w:rsid w:val="00BE09C5"/>
    <w:rsid w:val="00BE236E"/>
    <w:rsid w:val="00BE3028"/>
    <w:rsid w:val="00BE7C9C"/>
    <w:rsid w:val="00BF1660"/>
    <w:rsid w:val="00BF2F06"/>
    <w:rsid w:val="00BF6011"/>
    <w:rsid w:val="00C00FFB"/>
    <w:rsid w:val="00C053DD"/>
    <w:rsid w:val="00C11998"/>
    <w:rsid w:val="00C11E34"/>
    <w:rsid w:val="00C12D33"/>
    <w:rsid w:val="00C14779"/>
    <w:rsid w:val="00C218F0"/>
    <w:rsid w:val="00C2267E"/>
    <w:rsid w:val="00C25476"/>
    <w:rsid w:val="00C26936"/>
    <w:rsid w:val="00C26FE1"/>
    <w:rsid w:val="00C30B4F"/>
    <w:rsid w:val="00C37353"/>
    <w:rsid w:val="00C4279B"/>
    <w:rsid w:val="00C443E9"/>
    <w:rsid w:val="00C46057"/>
    <w:rsid w:val="00C46B8F"/>
    <w:rsid w:val="00C46E5E"/>
    <w:rsid w:val="00C513DE"/>
    <w:rsid w:val="00C51E24"/>
    <w:rsid w:val="00C5747B"/>
    <w:rsid w:val="00C579F6"/>
    <w:rsid w:val="00C60B7A"/>
    <w:rsid w:val="00C60C37"/>
    <w:rsid w:val="00C60E08"/>
    <w:rsid w:val="00C60E15"/>
    <w:rsid w:val="00C60E56"/>
    <w:rsid w:val="00C6259F"/>
    <w:rsid w:val="00C638F3"/>
    <w:rsid w:val="00C67251"/>
    <w:rsid w:val="00C67AB9"/>
    <w:rsid w:val="00C764F9"/>
    <w:rsid w:val="00C769DD"/>
    <w:rsid w:val="00C812A7"/>
    <w:rsid w:val="00C90EBB"/>
    <w:rsid w:val="00C95194"/>
    <w:rsid w:val="00C96390"/>
    <w:rsid w:val="00C9652F"/>
    <w:rsid w:val="00C96E39"/>
    <w:rsid w:val="00CA0219"/>
    <w:rsid w:val="00CA245E"/>
    <w:rsid w:val="00CA24A8"/>
    <w:rsid w:val="00CA2E85"/>
    <w:rsid w:val="00CA45CF"/>
    <w:rsid w:val="00CA566F"/>
    <w:rsid w:val="00CA6F92"/>
    <w:rsid w:val="00CA7D83"/>
    <w:rsid w:val="00CB2399"/>
    <w:rsid w:val="00CB497D"/>
    <w:rsid w:val="00CB5A77"/>
    <w:rsid w:val="00CB5E12"/>
    <w:rsid w:val="00CB67AA"/>
    <w:rsid w:val="00CC0E95"/>
    <w:rsid w:val="00CC1C0E"/>
    <w:rsid w:val="00CC35FE"/>
    <w:rsid w:val="00CC3DCB"/>
    <w:rsid w:val="00CC3FD8"/>
    <w:rsid w:val="00CC458F"/>
    <w:rsid w:val="00CC4637"/>
    <w:rsid w:val="00CC52BB"/>
    <w:rsid w:val="00CC5B1A"/>
    <w:rsid w:val="00CD1296"/>
    <w:rsid w:val="00CD1413"/>
    <w:rsid w:val="00CD28E7"/>
    <w:rsid w:val="00CD3ABF"/>
    <w:rsid w:val="00CD44B1"/>
    <w:rsid w:val="00CD4813"/>
    <w:rsid w:val="00CD6295"/>
    <w:rsid w:val="00CD763A"/>
    <w:rsid w:val="00CE09EF"/>
    <w:rsid w:val="00CE1969"/>
    <w:rsid w:val="00CE1CFA"/>
    <w:rsid w:val="00CE1FEA"/>
    <w:rsid w:val="00CE4229"/>
    <w:rsid w:val="00CE4813"/>
    <w:rsid w:val="00CE5F54"/>
    <w:rsid w:val="00CE7A21"/>
    <w:rsid w:val="00CF253F"/>
    <w:rsid w:val="00CF2603"/>
    <w:rsid w:val="00CF3A07"/>
    <w:rsid w:val="00CF6FDB"/>
    <w:rsid w:val="00D0041B"/>
    <w:rsid w:val="00D032F4"/>
    <w:rsid w:val="00D04B03"/>
    <w:rsid w:val="00D07051"/>
    <w:rsid w:val="00D0799A"/>
    <w:rsid w:val="00D24404"/>
    <w:rsid w:val="00D25EBE"/>
    <w:rsid w:val="00D25F85"/>
    <w:rsid w:val="00D26BF7"/>
    <w:rsid w:val="00D310D5"/>
    <w:rsid w:val="00D34A26"/>
    <w:rsid w:val="00D36CB2"/>
    <w:rsid w:val="00D37857"/>
    <w:rsid w:val="00D40DF1"/>
    <w:rsid w:val="00D4121F"/>
    <w:rsid w:val="00D424E0"/>
    <w:rsid w:val="00D43B21"/>
    <w:rsid w:val="00D43FE2"/>
    <w:rsid w:val="00D474EB"/>
    <w:rsid w:val="00D47BB8"/>
    <w:rsid w:val="00D50907"/>
    <w:rsid w:val="00D50CB4"/>
    <w:rsid w:val="00D52E10"/>
    <w:rsid w:val="00D5433B"/>
    <w:rsid w:val="00D565FA"/>
    <w:rsid w:val="00D56D1E"/>
    <w:rsid w:val="00D56F07"/>
    <w:rsid w:val="00D61ED0"/>
    <w:rsid w:val="00D6315D"/>
    <w:rsid w:val="00D66BDA"/>
    <w:rsid w:val="00D66CD4"/>
    <w:rsid w:val="00D66F00"/>
    <w:rsid w:val="00D713AC"/>
    <w:rsid w:val="00D71EF9"/>
    <w:rsid w:val="00D72A00"/>
    <w:rsid w:val="00D72B8D"/>
    <w:rsid w:val="00D75CEB"/>
    <w:rsid w:val="00D7676C"/>
    <w:rsid w:val="00D80441"/>
    <w:rsid w:val="00D81E23"/>
    <w:rsid w:val="00D81FDD"/>
    <w:rsid w:val="00D83450"/>
    <w:rsid w:val="00D85CE4"/>
    <w:rsid w:val="00D85E77"/>
    <w:rsid w:val="00D8702C"/>
    <w:rsid w:val="00D91B14"/>
    <w:rsid w:val="00D91B71"/>
    <w:rsid w:val="00D93B5B"/>
    <w:rsid w:val="00D96A8A"/>
    <w:rsid w:val="00D972AC"/>
    <w:rsid w:val="00D97AD0"/>
    <w:rsid w:val="00DA06AF"/>
    <w:rsid w:val="00DA0797"/>
    <w:rsid w:val="00DA07E3"/>
    <w:rsid w:val="00DA43CA"/>
    <w:rsid w:val="00DA5A87"/>
    <w:rsid w:val="00DA611C"/>
    <w:rsid w:val="00DB06EA"/>
    <w:rsid w:val="00DB1979"/>
    <w:rsid w:val="00DB1FC8"/>
    <w:rsid w:val="00DB2901"/>
    <w:rsid w:val="00DB3C88"/>
    <w:rsid w:val="00DB406D"/>
    <w:rsid w:val="00DB496F"/>
    <w:rsid w:val="00DB74CB"/>
    <w:rsid w:val="00DB7C63"/>
    <w:rsid w:val="00DC0EF3"/>
    <w:rsid w:val="00DC13CB"/>
    <w:rsid w:val="00DC19D3"/>
    <w:rsid w:val="00DC33E9"/>
    <w:rsid w:val="00DC35AD"/>
    <w:rsid w:val="00DC4B07"/>
    <w:rsid w:val="00DC5798"/>
    <w:rsid w:val="00DD1D44"/>
    <w:rsid w:val="00DD28DD"/>
    <w:rsid w:val="00DD3A46"/>
    <w:rsid w:val="00DD5D8F"/>
    <w:rsid w:val="00DD661D"/>
    <w:rsid w:val="00DD7C1B"/>
    <w:rsid w:val="00DE3292"/>
    <w:rsid w:val="00DE3F18"/>
    <w:rsid w:val="00DE4761"/>
    <w:rsid w:val="00DE4B1E"/>
    <w:rsid w:val="00DE51DE"/>
    <w:rsid w:val="00DE5571"/>
    <w:rsid w:val="00DE6F2C"/>
    <w:rsid w:val="00DE7710"/>
    <w:rsid w:val="00DE789C"/>
    <w:rsid w:val="00DE79CC"/>
    <w:rsid w:val="00DE7BD3"/>
    <w:rsid w:val="00DF017E"/>
    <w:rsid w:val="00DF0EAA"/>
    <w:rsid w:val="00DF1FEC"/>
    <w:rsid w:val="00DF2722"/>
    <w:rsid w:val="00DF4CCB"/>
    <w:rsid w:val="00DF6CD1"/>
    <w:rsid w:val="00DF6CF5"/>
    <w:rsid w:val="00E0414B"/>
    <w:rsid w:val="00E06835"/>
    <w:rsid w:val="00E10E6E"/>
    <w:rsid w:val="00E143F4"/>
    <w:rsid w:val="00E148B4"/>
    <w:rsid w:val="00E1693E"/>
    <w:rsid w:val="00E16F5A"/>
    <w:rsid w:val="00E210D4"/>
    <w:rsid w:val="00E23937"/>
    <w:rsid w:val="00E32170"/>
    <w:rsid w:val="00E32241"/>
    <w:rsid w:val="00E343C0"/>
    <w:rsid w:val="00E35D3E"/>
    <w:rsid w:val="00E3610E"/>
    <w:rsid w:val="00E36FAF"/>
    <w:rsid w:val="00E37449"/>
    <w:rsid w:val="00E40E65"/>
    <w:rsid w:val="00E411FB"/>
    <w:rsid w:val="00E41551"/>
    <w:rsid w:val="00E41CE2"/>
    <w:rsid w:val="00E4263A"/>
    <w:rsid w:val="00E4313B"/>
    <w:rsid w:val="00E46662"/>
    <w:rsid w:val="00E469EC"/>
    <w:rsid w:val="00E50DB5"/>
    <w:rsid w:val="00E51B4E"/>
    <w:rsid w:val="00E60031"/>
    <w:rsid w:val="00E60574"/>
    <w:rsid w:val="00E60D99"/>
    <w:rsid w:val="00E621B0"/>
    <w:rsid w:val="00E629C5"/>
    <w:rsid w:val="00E62EF9"/>
    <w:rsid w:val="00E63C2C"/>
    <w:rsid w:val="00E7316B"/>
    <w:rsid w:val="00E75C2B"/>
    <w:rsid w:val="00E77178"/>
    <w:rsid w:val="00E82310"/>
    <w:rsid w:val="00E82F7E"/>
    <w:rsid w:val="00E833C0"/>
    <w:rsid w:val="00E84833"/>
    <w:rsid w:val="00E861EE"/>
    <w:rsid w:val="00E864EA"/>
    <w:rsid w:val="00E86F8F"/>
    <w:rsid w:val="00E90BC5"/>
    <w:rsid w:val="00E923F8"/>
    <w:rsid w:val="00E92520"/>
    <w:rsid w:val="00E927D5"/>
    <w:rsid w:val="00E96214"/>
    <w:rsid w:val="00E96953"/>
    <w:rsid w:val="00E9774E"/>
    <w:rsid w:val="00EA0218"/>
    <w:rsid w:val="00EA4CA2"/>
    <w:rsid w:val="00EA4E0F"/>
    <w:rsid w:val="00EA515E"/>
    <w:rsid w:val="00EA527D"/>
    <w:rsid w:val="00EA53CC"/>
    <w:rsid w:val="00EA70D0"/>
    <w:rsid w:val="00EA7170"/>
    <w:rsid w:val="00EB559E"/>
    <w:rsid w:val="00EB7E5E"/>
    <w:rsid w:val="00EC1151"/>
    <w:rsid w:val="00EC126B"/>
    <w:rsid w:val="00EC2DA0"/>
    <w:rsid w:val="00EC415E"/>
    <w:rsid w:val="00EC67ED"/>
    <w:rsid w:val="00ED0F3F"/>
    <w:rsid w:val="00ED53E8"/>
    <w:rsid w:val="00ED553A"/>
    <w:rsid w:val="00ED559A"/>
    <w:rsid w:val="00ED763B"/>
    <w:rsid w:val="00EE0A9D"/>
    <w:rsid w:val="00EE14FF"/>
    <w:rsid w:val="00EE304D"/>
    <w:rsid w:val="00EE40A9"/>
    <w:rsid w:val="00EE54DD"/>
    <w:rsid w:val="00EF0226"/>
    <w:rsid w:val="00EF12B7"/>
    <w:rsid w:val="00EF190A"/>
    <w:rsid w:val="00EF2F03"/>
    <w:rsid w:val="00EF79D2"/>
    <w:rsid w:val="00EF7D60"/>
    <w:rsid w:val="00F00C34"/>
    <w:rsid w:val="00F021A3"/>
    <w:rsid w:val="00F025B8"/>
    <w:rsid w:val="00F029F2"/>
    <w:rsid w:val="00F04CF8"/>
    <w:rsid w:val="00F0540C"/>
    <w:rsid w:val="00F079CE"/>
    <w:rsid w:val="00F12A8B"/>
    <w:rsid w:val="00F13AE6"/>
    <w:rsid w:val="00F1484E"/>
    <w:rsid w:val="00F21368"/>
    <w:rsid w:val="00F224E5"/>
    <w:rsid w:val="00F22A9E"/>
    <w:rsid w:val="00F25E97"/>
    <w:rsid w:val="00F32274"/>
    <w:rsid w:val="00F364D4"/>
    <w:rsid w:val="00F36C4B"/>
    <w:rsid w:val="00F36EEB"/>
    <w:rsid w:val="00F403FC"/>
    <w:rsid w:val="00F409E2"/>
    <w:rsid w:val="00F43EFD"/>
    <w:rsid w:val="00F447C5"/>
    <w:rsid w:val="00F4526E"/>
    <w:rsid w:val="00F456BC"/>
    <w:rsid w:val="00F467D4"/>
    <w:rsid w:val="00F50B4C"/>
    <w:rsid w:val="00F51883"/>
    <w:rsid w:val="00F53527"/>
    <w:rsid w:val="00F5465E"/>
    <w:rsid w:val="00F560F6"/>
    <w:rsid w:val="00F56488"/>
    <w:rsid w:val="00F5707D"/>
    <w:rsid w:val="00F573C6"/>
    <w:rsid w:val="00F6534E"/>
    <w:rsid w:val="00F670A9"/>
    <w:rsid w:val="00F67B6C"/>
    <w:rsid w:val="00F75230"/>
    <w:rsid w:val="00F81C1D"/>
    <w:rsid w:val="00F9162B"/>
    <w:rsid w:val="00F94045"/>
    <w:rsid w:val="00F94BE2"/>
    <w:rsid w:val="00F95B27"/>
    <w:rsid w:val="00F9703A"/>
    <w:rsid w:val="00F97F03"/>
    <w:rsid w:val="00FA377C"/>
    <w:rsid w:val="00FB0DF5"/>
    <w:rsid w:val="00FB7390"/>
    <w:rsid w:val="00FC0B27"/>
    <w:rsid w:val="00FC4080"/>
    <w:rsid w:val="00FC46B3"/>
    <w:rsid w:val="00FC64CE"/>
    <w:rsid w:val="00FC6FFE"/>
    <w:rsid w:val="00FD1647"/>
    <w:rsid w:val="00FD17A1"/>
    <w:rsid w:val="00FD1A40"/>
    <w:rsid w:val="00FD2077"/>
    <w:rsid w:val="00FD22CF"/>
    <w:rsid w:val="00FD297B"/>
    <w:rsid w:val="00FD4EBE"/>
    <w:rsid w:val="00FD5248"/>
    <w:rsid w:val="00FD5912"/>
    <w:rsid w:val="00FD6B4B"/>
    <w:rsid w:val="00FD76B1"/>
    <w:rsid w:val="00FE000A"/>
    <w:rsid w:val="00FE059F"/>
    <w:rsid w:val="00FE122A"/>
    <w:rsid w:val="00FE33F6"/>
    <w:rsid w:val="00FE3F4E"/>
    <w:rsid w:val="00FE5383"/>
    <w:rsid w:val="00FF4BEE"/>
    <w:rsid w:val="00FF5513"/>
    <w:rsid w:val="00FF5A0A"/>
    <w:rsid w:val="00FF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9f,#ff7c80,#606"/>
    </o:shapedefaults>
    <o:shapelayout v:ext="edit">
      <o:idmap v:ext="edit" data="1"/>
    </o:shapelayout>
  </w:shapeDefaults>
  <w:decimalSymbol w:val="."/>
  <w:listSeparator w:val=","/>
  <w14:docId w14:val="2D74E297"/>
  <w15:docId w15:val="{CA8365EC-28C4-4F7E-8681-B9FA4877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ED0"/>
    <w:pPr>
      <w:spacing w:after="200" w:line="276" w:lineRule="auto"/>
    </w:pPr>
    <w:rPr>
      <w:rFonts w:eastAsia="Times New Roman"/>
      <w:sz w:val="22"/>
      <w:szCs w:val="22"/>
    </w:rPr>
  </w:style>
  <w:style w:type="paragraph" w:styleId="Heading1">
    <w:name w:val="heading 1"/>
    <w:basedOn w:val="Normal"/>
    <w:next w:val="Normal"/>
    <w:link w:val="Heading1Char"/>
    <w:qFormat/>
    <w:locked/>
    <w:rsid w:val="006A0308"/>
    <w:pPr>
      <w:keepNext/>
      <w:spacing w:after="0" w:line="360" w:lineRule="auto"/>
      <w:ind w:left="28"/>
      <w:outlineLvl w:val="0"/>
    </w:pPr>
    <w:rPr>
      <w:rFonts w:ascii="Arial Narrow" w:eastAsia="Calibri" w:hAnsi="Arial Narrow"/>
      <w:b/>
      <w:bCs/>
      <w:sz w:val="16"/>
      <w:szCs w:val="16"/>
      <w:lang w:val="ro-RO"/>
    </w:rPr>
  </w:style>
  <w:style w:type="paragraph" w:styleId="Heading2">
    <w:name w:val="heading 2"/>
    <w:basedOn w:val="Normal"/>
    <w:next w:val="Normal"/>
    <w:link w:val="Heading2Char"/>
    <w:qFormat/>
    <w:locked/>
    <w:rsid w:val="006A0308"/>
    <w:pPr>
      <w:keepNext/>
      <w:keepLines/>
      <w:spacing w:before="200" w:after="0"/>
      <w:outlineLvl w:val="1"/>
    </w:pPr>
    <w:rPr>
      <w:rFonts w:ascii="Cambria" w:eastAsia="Calibri" w:hAnsi="Cambria"/>
      <w:b/>
      <w:bCs/>
      <w:color w:val="4F81BD"/>
      <w:sz w:val="26"/>
      <w:szCs w:val="26"/>
    </w:rPr>
  </w:style>
  <w:style w:type="paragraph" w:styleId="Heading5">
    <w:name w:val="heading 5"/>
    <w:basedOn w:val="Normal"/>
    <w:next w:val="Normal"/>
    <w:link w:val="Heading5Char"/>
    <w:qFormat/>
    <w:locked/>
    <w:rsid w:val="006A0308"/>
    <w:pPr>
      <w:spacing w:before="240" w:after="60"/>
      <w:outlineLvl w:val="4"/>
    </w:pPr>
    <w:rPr>
      <w:rFonts w:eastAsia="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A0308"/>
    <w:rPr>
      <w:rFonts w:ascii="Arial Narrow" w:eastAsia="Calibri" w:hAnsi="Arial Narrow"/>
      <w:b/>
      <w:bCs/>
      <w:sz w:val="16"/>
      <w:szCs w:val="16"/>
      <w:lang w:val="ro-RO" w:bidi="ar-SA"/>
    </w:rPr>
  </w:style>
  <w:style w:type="character" w:customStyle="1" w:styleId="Heading2Char">
    <w:name w:val="Heading 2 Char"/>
    <w:link w:val="Heading2"/>
    <w:semiHidden/>
    <w:locked/>
    <w:rsid w:val="006A0308"/>
    <w:rPr>
      <w:rFonts w:ascii="Cambria" w:eastAsia="Calibri" w:hAnsi="Cambria"/>
      <w:b/>
      <w:bCs/>
      <w:color w:val="4F81BD"/>
      <w:sz w:val="26"/>
      <w:szCs w:val="26"/>
      <w:lang w:bidi="ar-SA"/>
    </w:rPr>
  </w:style>
  <w:style w:type="character" w:customStyle="1" w:styleId="Heading5Char">
    <w:name w:val="Heading 5 Char"/>
    <w:link w:val="Heading5"/>
    <w:semiHidden/>
    <w:locked/>
    <w:rsid w:val="006A0308"/>
    <w:rPr>
      <w:rFonts w:ascii="Calibri" w:eastAsia="Calibri" w:hAnsi="Calibri"/>
      <w:b/>
      <w:bCs/>
      <w:i/>
      <w:iCs/>
      <w:sz w:val="26"/>
      <w:szCs w:val="26"/>
      <w:lang w:bidi="ar-SA"/>
    </w:rPr>
  </w:style>
  <w:style w:type="paragraph" w:customStyle="1" w:styleId="Default">
    <w:name w:val="Default"/>
    <w:rsid w:val="00BD6F77"/>
    <w:pPr>
      <w:autoSpaceDE w:val="0"/>
      <w:autoSpaceDN w:val="0"/>
      <w:adjustRightInd w:val="0"/>
    </w:pPr>
    <w:rPr>
      <w:rFonts w:ascii="Cambria" w:eastAsia="Times New Roman" w:hAnsi="Cambria" w:cs="Cambria"/>
      <w:color w:val="000000"/>
      <w:sz w:val="24"/>
      <w:szCs w:val="24"/>
    </w:rPr>
  </w:style>
  <w:style w:type="paragraph" w:styleId="Header">
    <w:name w:val="header"/>
    <w:basedOn w:val="Normal"/>
    <w:link w:val="HeaderChar"/>
    <w:rsid w:val="00431589"/>
    <w:pPr>
      <w:tabs>
        <w:tab w:val="center" w:pos="4680"/>
        <w:tab w:val="right" w:pos="9360"/>
      </w:tabs>
    </w:pPr>
  </w:style>
  <w:style w:type="character" w:customStyle="1" w:styleId="HeaderChar">
    <w:name w:val="Header Char"/>
    <w:link w:val="Header"/>
    <w:semiHidden/>
    <w:locked/>
    <w:rsid w:val="00431589"/>
    <w:rPr>
      <w:rFonts w:cs="Times New Roman"/>
    </w:rPr>
  </w:style>
  <w:style w:type="paragraph" w:styleId="Footer">
    <w:name w:val="footer"/>
    <w:basedOn w:val="Normal"/>
    <w:link w:val="FooterChar"/>
    <w:uiPriority w:val="99"/>
    <w:rsid w:val="00431589"/>
    <w:pPr>
      <w:tabs>
        <w:tab w:val="center" w:pos="4680"/>
        <w:tab w:val="right" w:pos="9360"/>
      </w:tabs>
    </w:pPr>
  </w:style>
  <w:style w:type="character" w:customStyle="1" w:styleId="FooterChar">
    <w:name w:val="Footer Char"/>
    <w:link w:val="Footer"/>
    <w:uiPriority w:val="99"/>
    <w:locked/>
    <w:rsid w:val="00431589"/>
    <w:rPr>
      <w:rFonts w:cs="Times New Roman"/>
    </w:rPr>
  </w:style>
  <w:style w:type="paragraph" w:styleId="BalloonText">
    <w:name w:val="Balloon Text"/>
    <w:basedOn w:val="Normal"/>
    <w:link w:val="BalloonTextChar"/>
    <w:semiHidden/>
    <w:rsid w:val="00431589"/>
    <w:pPr>
      <w:spacing w:after="0" w:line="240" w:lineRule="auto"/>
    </w:pPr>
    <w:rPr>
      <w:rFonts w:ascii="Tahoma" w:hAnsi="Tahoma" w:cs="Tahoma"/>
      <w:sz w:val="16"/>
      <w:szCs w:val="16"/>
    </w:rPr>
  </w:style>
  <w:style w:type="character" w:customStyle="1" w:styleId="BalloonTextChar">
    <w:name w:val="Balloon Text Char"/>
    <w:link w:val="BalloonText"/>
    <w:semiHidden/>
    <w:locked/>
    <w:rsid w:val="00431589"/>
    <w:rPr>
      <w:rFonts w:ascii="Tahoma" w:hAnsi="Tahoma" w:cs="Tahoma"/>
      <w:sz w:val="16"/>
      <w:szCs w:val="16"/>
    </w:rPr>
  </w:style>
  <w:style w:type="paragraph" w:styleId="FootnoteText">
    <w:name w:val="footnote text"/>
    <w:basedOn w:val="Normal"/>
    <w:link w:val="FootnoteTextChar"/>
    <w:rsid w:val="00CC35FE"/>
    <w:rPr>
      <w:sz w:val="20"/>
      <w:szCs w:val="20"/>
    </w:rPr>
  </w:style>
  <w:style w:type="character" w:customStyle="1" w:styleId="FootnoteTextChar">
    <w:name w:val="Footnote Text Char"/>
    <w:link w:val="FootnoteText"/>
    <w:locked/>
    <w:rsid w:val="006A0308"/>
    <w:rPr>
      <w:rFonts w:ascii="Calibri" w:hAnsi="Calibri"/>
      <w:lang w:val="en-US" w:eastAsia="en-US" w:bidi="ar-SA"/>
    </w:rPr>
  </w:style>
  <w:style w:type="character" w:styleId="FootnoteReference">
    <w:name w:val="footnote reference"/>
    <w:rsid w:val="00CC35FE"/>
    <w:rPr>
      <w:vertAlign w:val="superscript"/>
    </w:rPr>
  </w:style>
  <w:style w:type="paragraph" w:styleId="DocumentMap">
    <w:name w:val="Document Map"/>
    <w:basedOn w:val="Normal"/>
    <w:link w:val="DocumentMapChar"/>
    <w:semiHidden/>
    <w:rsid w:val="009356AF"/>
    <w:pPr>
      <w:shd w:val="clear" w:color="auto" w:fill="000080"/>
    </w:pPr>
    <w:rPr>
      <w:rFonts w:ascii="Tahoma" w:hAnsi="Tahoma" w:cs="Tahoma"/>
      <w:sz w:val="20"/>
      <w:szCs w:val="20"/>
    </w:rPr>
  </w:style>
  <w:style w:type="character" w:customStyle="1" w:styleId="DocumentMapChar">
    <w:name w:val="Document Map Char"/>
    <w:link w:val="DocumentMap"/>
    <w:semiHidden/>
    <w:locked/>
    <w:rsid w:val="006A0308"/>
    <w:rPr>
      <w:rFonts w:ascii="Tahoma" w:hAnsi="Tahoma" w:cs="Tahoma"/>
      <w:lang w:val="en-US" w:eastAsia="en-US" w:bidi="ar-SA"/>
    </w:rPr>
  </w:style>
  <w:style w:type="paragraph" w:customStyle="1" w:styleId="Normal2">
    <w:name w:val="Normal+2"/>
    <w:basedOn w:val="Normal"/>
    <w:next w:val="Normal"/>
    <w:rsid w:val="006A0308"/>
    <w:pPr>
      <w:autoSpaceDE w:val="0"/>
      <w:autoSpaceDN w:val="0"/>
      <w:adjustRightInd w:val="0"/>
      <w:spacing w:after="0" w:line="240" w:lineRule="auto"/>
    </w:pPr>
    <w:rPr>
      <w:rFonts w:ascii="Arial" w:eastAsia="Calibri" w:hAnsi="Arial" w:cs="Arial"/>
      <w:sz w:val="24"/>
      <w:szCs w:val="24"/>
    </w:rPr>
  </w:style>
  <w:style w:type="paragraph" w:customStyle="1" w:styleId="BodyText21">
    <w:name w:val="Body Text 2+1"/>
    <w:basedOn w:val="Normal"/>
    <w:next w:val="Normal"/>
    <w:rsid w:val="006A0308"/>
    <w:pPr>
      <w:autoSpaceDE w:val="0"/>
      <w:autoSpaceDN w:val="0"/>
      <w:adjustRightInd w:val="0"/>
      <w:spacing w:after="0" w:line="240" w:lineRule="auto"/>
    </w:pPr>
    <w:rPr>
      <w:rFonts w:ascii="Arial" w:eastAsia="Calibri" w:hAnsi="Arial" w:cs="Arial"/>
      <w:sz w:val="24"/>
      <w:szCs w:val="24"/>
    </w:rPr>
  </w:style>
  <w:style w:type="paragraph" w:customStyle="1" w:styleId="FootnoteText2">
    <w:name w:val="Footnote Text+2"/>
    <w:basedOn w:val="Normal"/>
    <w:next w:val="Normal"/>
    <w:rsid w:val="006A0308"/>
    <w:pPr>
      <w:autoSpaceDE w:val="0"/>
      <w:autoSpaceDN w:val="0"/>
      <w:adjustRightInd w:val="0"/>
      <w:spacing w:after="0" w:line="240" w:lineRule="auto"/>
    </w:pPr>
    <w:rPr>
      <w:rFonts w:ascii="Arial" w:eastAsia="Calibri" w:hAnsi="Arial" w:cs="Arial"/>
      <w:sz w:val="24"/>
      <w:szCs w:val="24"/>
    </w:rPr>
  </w:style>
  <w:style w:type="paragraph" w:styleId="BodyTextIndent">
    <w:name w:val="Body Text Indent"/>
    <w:basedOn w:val="Normal"/>
    <w:next w:val="Normal"/>
    <w:link w:val="BodyTextIndentChar"/>
    <w:rsid w:val="006A0308"/>
    <w:pPr>
      <w:autoSpaceDE w:val="0"/>
      <w:autoSpaceDN w:val="0"/>
      <w:adjustRightInd w:val="0"/>
      <w:spacing w:after="0" w:line="240" w:lineRule="auto"/>
    </w:pPr>
    <w:rPr>
      <w:rFonts w:ascii="Arial" w:eastAsia="Calibri" w:hAnsi="Arial"/>
      <w:sz w:val="24"/>
      <w:szCs w:val="24"/>
    </w:rPr>
  </w:style>
  <w:style w:type="character" w:customStyle="1" w:styleId="BodyTextIndentChar">
    <w:name w:val="Body Text Indent Char"/>
    <w:link w:val="BodyTextIndent"/>
    <w:locked/>
    <w:rsid w:val="006A0308"/>
    <w:rPr>
      <w:rFonts w:ascii="Arial" w:eastAsia="Calibri" w:hAnsi="Arial"/>
      <w:sz w:val="24"/>
      <w:szCs w:val="24"/>
      <w:lang w:bidi="ar-SA"/>
    </w:rPr>
  </w:style>
  <w:style w:type="paragraph" w:customStyle="1" w:styleId="Normal5">
    <w:name w:val="Normal+5"/>
    <w:basedOn w:val="Normal"/>
    <w:next w:val="Normal"/>
    <w:rsid w:val="006A0308"/>
    <w:pPr>
      <w:autoSpaceDE w:val="0"/>
      <w:autoSpaceDN w:val="0"/>
      <w:adjustRightInd w:val="0"/>
      <w:spacing w:after="0" w:line="240" w:lineRule="auto"/>
    </w:pPr>
    <w:rPr>
      <w:rFonts w:ascii="Arial" w:eastAsia="Calibri" w:hAnsi="Arial" w:cs="Arial"/>
      <w:sz w:val="24"/>
      <w:szCs w:val="24"/>
    </w:rPr>
  </w:style>
  <w:style w:type="paragraph" w:styleId="ListParagraph">
    <w:name w:val="List Paragraph"/>
    <w:basedOn w:val="Normal"/>
    <w:qFormat/>
    <w:rsid w:val="006A0308"/>
    <w:pPr>
      <w:ind w:left="720"/>
      <w:contextualSpacing/>
    </w:pPr>
    <w:rPr>
      <w:rFonts w:eastAsia="Calibri"/>
    </w:rPr>
  </w:style>
  <w:style w:type="paragraph" w:customStyle="1" w:styleId="CaracterCaracterCharCharCaracterCaracterCharCharCaracterCaracterCharCharCaracterCaracterCharCharCaracterCaracter">
    <w:name w:val="Caracter Caracter Char Char Caracter Caracter Char Char Caracter Caracter Char Char Caracter Caracter Char Char Caracter Caracter"/>
    <w:basedOn w:val="Normal"/>
    <w:rsid w:val="006A0308"/>
    <w:pPr>
      <w:spacing w:after="0" w:line="240" w:lineRule="auto"/>
    </w:pPr>
    <w:rPr>
      <w:rFonts w:ascii="Times New Roman" w:hAnsi="Times New Roman"/>
      <w:sz w:val="24"/>
      <w:szCs w:val="24"/>
      <w:lang w:val="pl-PL" w:eastAsia="pl-PL"/>
    </w:rPr>
  </w:style>
  <w:style w:type="character" w:styleId="Strong">
    <w:name w:val="Strong"/>
    <w:uiPriority w:val="22"/>
    <w:qFormat/>
    <w:locked/>
    <w:rsid w:val="006A0308"/>
    <w:rPr>
      <w:rFonts w:cs="Times New Roman"/>
      <w:b/>
    </w:rPr>
  </w:style>
  <w:style w:type="paragraph" w:styleId="BodyText">
    <w:name w:val="Body Text"/>
    <w:basedOn w:val="Normal"/>
    <w:link w:val="BodyTextChar"/>
    <w:semiHidden/>
    <w:rsid w:val="006A0308"/>
    <w:pPr>
      <w:spacing w:after="120"/>
    </w:pPr>
    <w:rPr>
      <w:rFonts w:eastAsia="Calibri"/>
      <w:sz w:val="20"/>
      <w:szCs w:val="20"/>
    </w:rPr>
  </w:style>
  <w:style w:type="character" w:customStyle="1" w:styleId="BodyTextChar">
    <w:name w:val="Body Text Char"/>
    <w:link w:val="BodyText"/>
    <w:semiHidden/>
    <w:locked/>
    <w:rsid w:val="006A0308"/>
    <w:rPr>
      <w:rFonts w:ascii="Calibri" w:eastAsia="Calibri" w:hAnsi="Calibri"/>
      <w:lang w:bidi="ar-SA"/>
    </w:rPr>
  </w:style>
  <w:style w:type="paragraph" w:styleId="BodyTextIndent2">
    <w:name w:val="Body Text Indent 2"/>
    <w:basedOn w:val="Normal"/>
    <w:link w:val="BodyTextIndent2Char"/>
    <w:rsid w:val="006A0308"/>
    <w:pPr>
      <w:spacing w:after="120" w:line="480" w:lineRule="auto"/>
      <w:ind w:left="360"/>
    </w:pPr>
    <w:rPr>
      <w:sz w:val="20"/>
      <w:szCs w:val="20"/>
    </w:rPr>
  </w:style>
  <w:style w:type="character" w:customStyle="1" w:styleId="BodyTextIndent2Char">
    <w:name w:val="Body Text Indent 2 Char"/>
    <w:link w:val="BodyTextIndent2"/>
    <w:semiHidden/>
    <w:locked/>
    <w:rsid w:val="006A0308"/>
    <w:rPr>
      <w:rFonts w:ascii="Calibri" w:hAnsi="Calibri"/>
      <w:lang w:bidi="ar-SA"/>
    </w:rPr>
  </w:style>
  <w:style w:type="character" w:customStyle="1" w:styleId="CharChar3">
    <w:name w:val="Char Char3"/>
    <w:locked/>
    <w:rsid w:val="006A0308"/>
    <w:rPr>
      <w:rFonts w:ascii="Calibri" w:hAnsi="Calibri" w:cs="Times New Roman"/>
      <w:sz w:val="22"/>
      <w:szCs w:val="22"/>
      <w:lang w:val="en-US" w:eastAsia="en-US" w:bidi="ar-SA"/>
    </w:rPr>
  </w:style>
  <w:style w:type="paragraph" w:customStyle="1" w:styleId="CM6">
    <w:name w:val="CM6"/>
    <w:basedOn w:val="Default"/>
    <w:next w:val="Default"/>
    <w:rsid w:val="006A0308"/>
    <w:pPr>
      <w:widowControl w:val="0"/>
      <w:spacing w:line="323" w:lineRule="atLeast"/>
    </w:pPr>
    <w:rPr>
      <w:rFonts w:ascii="Times New Roman" w:eastAsia="Calibri" w:hAnsi="Times New Roman" w:cs="Times New Roman"/>
      <w:color w:val="auto"/>
    </w:rPr>
  </w:style>
  <w:style w:type="paragraph" w:customStyle="1" w:styleId="CM33">
    <w:name w:val="CM33"/>
    <w:basedOn w:val="Default"/>
    <w:next w:val="Default"/>
    <w:rsid w:val="006A0308"/>
    <w:pPr>
      <w:widowControl w:val="0"/>
      <w:spacing w:line="323" w:lineRule="atLeast"/>
    </w:pPr>
    <w:rPr>
      <w:rFonts w:ascii="Times New Roman" w:eastAsia="Calibri" w:hAnsi="Times New Roman" w:cs="Times New Roman"/>
      <w:color w:val="auto"/>
    </w:rPr>
  </w:style>
  <w:style w:type="character" w:styleId="PageNumber">
    <w:name w:val="page number"/>
    <w:rsid w:val="006A0308"/>
    <w:rPr>
      <w:rFonts w:cs="Times New Roman"/>
    </w:rPr>
  </w:style>
  <w:style w:type="paragraph" w:customStyle="1" w:styleId="Normal3">
    <w:name w:val="Normal+3"/>
    <w:basedOn w:val="Default"/>
    <w:next w:val="Default"/>
    <w:rsid w:val="006A0308"/>
    <w:rPr>
      <w:rFonts w:ascii="Arial" w:hAnsi="Arial" w:cs="Arial"/>
      <w:color w:val="auto"/>
    </w:rPr>
  </w:style>
  <w:style w:type="character" w:customStyle="1" w:styleId="normalchar1">
    <w:name w:val="normal__char1"/>
    <w:rsid w:val="006A0308"/>
    <w:rPr>
      <w:rFonts w:ascii="Times New Roman" w:hAnsi="Times New Roman" w:cs="Times New Roman"/>
      <w:sz w:val="24"/>
      <w:szCs w:val="24"/>
      <w:u w:val="none"/>
      <w:effect w:val="none"/>
    </w:rPr>
  </w:style>
  <w:style w:type="paragraph" w:styleId="PlainText">
    <w:name w:val="Plain Text"/>
    <w:basedOn w:val="Normal"/>
    <w:link w:val="PlainTextChar"/>
    <w:rsid w:val="006A0308"/>
    <w:pPr>
      <w:spacing w:after="0" w:line="240" w:lineRule="auto"/>
    </w:pPr>
    <w:rPr>
      <w:rFonts w:ascii="Courier New" w:eastAsia="Calibri" w:hAnsi="Courier New"/>
      <w:sz w:val="20"/>
      <w:szCs w:val="20"/>
    </w:rPr>
  </w:style>
  <w:style w:type="character" w:customStyle="1" w:styleId="PlainTextChar">
    <w:name w:val="Plain Text Char"/>
    <w:link w:val="PlainText"/>
    <w:semiHidden/>
    <w:locked/>
    <w:rsid w:val="006A0308"/>
    <w:rPr>
      <w:rFonts w:ascii="Courier New" w:eastAsia="Calibri" w:hAnsi="Courier New"/>
      <w:lang w:bidi="ar-SA"/>
    </w:rPr>
  </w:style>
  <w:style w:type="paragraph" w:styleId="EndnoteText">
    <w:name w:val="endnote text"/>
    <w:basedOn w:val="Normal"/>
    <w:link w:val="EndnoteTextChar"/>
    <w:semiHidden/>
    <w:rsid w:val="006A0308"/>
    <w:rPr>
      <w:sz w:val="20"/>
      <w:szCs w:val="20"/>
    </w:rPr>
  </w:style>
  <w:style w:type="character" w:customStyle="1" w:styleId="EndnoteTextChar">
    <w:name w:val="Endnote Text Char"/>
    <w:link w:val="EndnoteText"/>
    <w:semiHidden/>
    <w:locked/>
    <w:rsid w:val="006A0308"/>
    <w:rPr>
      <w:rFonts w:ascii="Calibri" w:hAnsi="Calibri"/>
      <w:lang w:bidi="ar-SA"/>
    </w:rPr>
  </w:style>
  <w:style w:type="paragraph" w:customStyle="1" w:styleId="f11">
    <w:name w:val="f1+1"/>
    <w:basedOn w:val="Default"/>
    <w:next w:val="Default"/>
    <w:rsid w:val="006A0308"/>
    <w:rPr>
      <w:rFonts w:ascii="Arial" w:hAnsi="Arial" w:cs="Times New Roman"/>
      <w:color w:val="auto"/>
    </w:rPr>
  </w:style>
  <w:style w:type="paragraph" w:customStyle="1" w:styleId="Document1">
    <w:name w:val="Document 1"/>
    <w:basedOn w:val="Default"/>
    <w:next w:val="Default"/>
    <w:rsid w:val="006A0308"/>
    <w:rPr>
      <w:rFonts w:ascii="Arial" w:hAnsi="Arial" w:cs="Times New Roman"/>
      <w:color w:val="auto"/>
    </w:rPr>
  </w:style>
  <w:style w:type="paragraph" w:styleId="NormalWeb">
    <w:name w:val="Normal (Web)"/>
    <w:basedOn w:val="Normal"/>
    <w:uiPriority w:val="99"/>
    <w:unhideWhenUsed/>
    <w:rsid w:val="006A0308"/>
    <w:pPr>
      <w:spacing w:before="100" w:beforeAutospacing="1" w:after="100" w:afterAutospacing="1" w:line="240" w:lineRule="auto"/>
    </w:pPr>
    <w:rPr>
      <w:rFonts w:ascii="Times New Roman" w:hAnsi="Times New Roman"/>
      <w:sz w:val="24"/>
      <w:szCs w:val="24"/>
    </w:rPr>
  </w:style>
  <w:style w:type="paragraph" w:customStyle="1" w:styleId="CaracterCaracterCharCharCaracterCaracterCharCharCaracterCaracterCharCharCaracterCaracterCharCharCaracterCaracter1">
    <w:name w:val="Caracter Caracter Char Char Caracter Caracter Char Char Caracter Caracter Char Char Caracter Caracter Char Char Caracter Caracter1"/>
    <w:basedOn w:val="Normal"/>
    <w:rsid w:val="006A0308"/>
    <w:pPr>
      <w:spacing w:after="0" w:line="240" w:lineRule="auto"/>
    </w:pPr>
    <w:rPr>
      <w:rFonts w:ascii="Times New Roman" w:hAnsi="Times New Roman"/>
      <w:sz w:val="24"/>
      <w:szCs w:val="24"/>
      <w:lang w:val="pl-PL" w:eastAsia="pl-PL"/>
    </w:rPr>
  </w:style>
  <w:style w:type="character" w:styleId="Hyperlink">
    <w:name w:val="Hyperlink"/>
    <w:rsid w:val="006A0308"/>
    <w:rPr>
      <w:color w:val="0000FF"/>
      <w:u w:val="single"/>
    </w:rPr>
  </w:style>
  <w:style w:type="table" w:styleId="TableGrid">
    <w:name w:val="Table Grid"/>
    <w:basedOn w:val="TableNormal"/>
    <w:uiPriority w:val="59"/>
    <w:locked/>
    <w:rsid w:val="00B731F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F39A3"/>
    <w:rPr>
      <w:color w:val="800080"/>
      <w:u w:val="single"/>
    </w:rPr>
  </w:style>
  <w:style w:type="paragraph" w:customStyle="1" w:styleId="CM5">
    <w:name w:val="CM5"/>
    <w:basedOn w:val="Default"/>
    <w:next w:val="Default"/>
    <w:rsid w:val="00065A6C"/>
    <w:pPr>
      <w:widowControl w:val="0"/>
      <w:spacing w:line="216" w:lineRule="atLeast"/>
    </w:pPr>
    <w:rPr>
      <w:rFonts w:ascii="Arial" w:hAnsi="Arial" w:cs="Times New Roman"/>
      <w:color w:val="auto"/>
    </w:rPr>
  </w:style>
  <w:style w:type="table" w:styleId="Table3Deffects3">
    <w:name w:val="Table 3D effects 3"/>
    <w:basedOn w:val="TableNormal"/>
    <w:rsid w:val="00763885"/>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763885"/>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63885"/>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BA340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867B81"/>
    <w:rPr>
      <w:sz w:val="16"/>
      <w:szCs w:val="16"/>
    </w:rPr>
  </w:style>
  <w:style w:type="paragraph" w:styleId="CommentText">
    <w:name w:val="annotation text"/>
    <w:basedOn w:val="Normal"/>
    <w:link w:val="CommentTextChar"/>
    <w:semiHidden/>
    <w:unhideWhenUsed/>
    <w:rsid w:val="00867B81"/>
    <w:pPr>
      <w:spacing w:line="240" w:lineRule="auto"/>
    </w:pPr>
    <w:rPr>
      <w:sz w:val="20"/>
      <w:szCs w:val="20"/>
    </w:rPr>
  </w:style>
  <w:style w:type="character" w:customStyle="1" w:styleId="CommentTextChar">
    <w:name w:val="Comment Text Char"/>
    <w:basedOn w:val="DefaultParagraphFont"/>
    <w:link w:val="CommentText"/>
    <w:semiHidden/>
    <w:rsid w:val="00867B81"/>
    <w:rPr>
      <w:rFonts w:eastAsia="Times New Roman"/>
    </w:rPr>
  </w:style>
  <w:style w:type="paragraph" w:styleId="CommentSubject">
    <w:name w:val="annotation subject"/>
    <w:basedOn w:val="CommentText"/>
    <w:next w:val="CommentText"/>
    <w:link w:val="CommentSubjectChar"/>
    <w:semiHidden/>
    <w:unhideWhenUsed/>
    <w:rsid w:val="00867B81"/>
    <w:rPr>
      <w:b/>
      <w:bCs/>
    </w:rPr>
  </w:style>
  <w:style w:type="character" w:customStyle="1" w:styleId="CommentSubjectChar">
    <w:name w:val="Comment Subject Char"/>
    <w:basedOn w:val="CommentTextChar"/>
    <w:link w:val="CommentSubject"/>
    <w:semiHidden/>
    <w:rsid w:val="00867B81"/>
    <w:rPr>
      <w:rFonts w:eastAsia="Times New Roman"/>
      <w:b/>
      <w:bCs/>
    </w:rPr>
  </w:style>
  <w:style w:type="character" w:styleId="EndnoteReference">
    <w:name w:val="endnote reference"/>
    <w:basedOn w:val="DefaultParagraphFont"/>
    <w:semiHidden/>
    <w:unhideWhenUsed/>
    <w:rsid w:val="009C00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6082268">
      <w:bodyDiv w:val="1"/>
      <w:marLeft w:val="0"/>
      <w:marRight w:val="0"/>
      <w:marTop w:val="0"/>
      <w:marBottom w:val="0"/>
      <w:divBdr>
        <w:top w:val="none" w:sz="0" w:space="0" w:color="auto"/>
        <w:left w:val="none" w:sz="0" w:space="0" w:color="auto"/>
        <w:bottom w:val="none" w:sz="0" w:space="0" w:color="auto"/>
        <w:right w:val="none" w:sz="0" w:space="0" w:color="auto"/>
      </w:divBdr>
    </w:div>
    <w:div w:id="66079303">
      <w:bodyDiv w:val="1"/>
      <w:marLeft w:val="0"/>
      <w:marRight w:val="0"/>
      <w:marTop w:val="0"/>
      <w:marBottom w:val="0"/>
      <w:divBdr>
        <w:top w:val="none" w:sz="0" w:space="0" w:color="auto"/>
        <w:left w:val="none" w:sz="0" w:space="0" w:color="auto"/>
        <w:bottom w:val="none" w:sz="0" w:space="0" w:color="auto"/>
        <w:right w:val="none" w:sz="0" w:space="0" w:color="auto"/>
      </w:divBdr>
    </w:div>
    <w:div w:id="104542978">
      <w:bodyDiv w:val="1"/>
      <w:marLeft w:val="0"/>
      <w:marRight w:val="0"/>
      <w:marTop w:val="0"/>
      <w:marBottom w:val="0"/>
      <w:divBdr>
        <w:top w:val="none" w:sz="0" w:space="0" w:color="auto"/>
        <w:left w:val="none" w:sz="0" w:space="0" w:color="auto"/>
        <w:bottom w:val="none" w:sz="0" w:space="0" w:color="auto"/>
        <w:right w:val="none" w:sz="0" w:space="0" w:color="auto"/>
      </w:divBdr>
    </w:div>
    <w:div w:id="139081819">
      <w:bodyDiv w:val="1"/>
      <w:marLeft w:val="0"/>
      <w:marRight w:val="0"/>
      <w:marTop w:val="0"/>
      <w:marBottom w:val="0"/>
      <w:divBdr>
        <w:top w:val="none" w:sz="0" w:space="0" w:color="auto"/>
        <w:left w:val="none" w:sz="0" w:space="0" w:color="auto"/>
        <w:bottom w:val="none" w:sz="0" w:space="0" w:color="auto"/>
        <w:right w:val="none" w:sz="0" w:space="0" w:color="auto"/>
      </w:divBdr>
    </w:div>
    <w:div w:id="172842872">
      <w:bodyDiv w:val="1"/>
      <w:marLeft w:val="0"/>
      <w:marRight w:val="0"/>
      <w:marTop w:val="0"/>
      <w:marBottom w:val="0"/>
      <w:divBdr>
        <w:top w:val="none" w:sz="0" w:space="0" w:color="auto"/>
        <w:left w:val="none" w:sz="0" w:space="0" w:color="auto"/>
        <w:bottom w:val="none" w:sz="0" w:space="0" w:color="auto"/>
        <w:right w:val="none" w:sz="0" w:space="0" w:color="auto"/>
      </w:divBdr>
    </w:div>
    <w:div w:id="245891713">
      <w:bodyDiv w:val="1"/>
      <w:marLeft w:val="0"/>
      <w:marRight w:val="0"/>
      <w:marTop w:val="0"/>
      <w:marBottom w:val="0"/>
      <w:divBdr>
        <w:top w:val="none" w:sz="0" w:space="0" w:color="auto"/>
        <w:left w:val="none" w:sz="0" w:space="0" w:color="auto"/>
        <w:bottom w:val="none" w:sz="0" w:space="0" w:color="auto"/>
        <w:right w:val="none" w:sz="0" w:space="0" w:color="auto"/>
      </w:divBdr>
    </w:div>
    <w:div w:id="250704848">
      <w:bodyDiv w:val="1"/>
      <w:marLeft w:val="0"/>
      <w:marRight w:val="0"/>
      <w:marTop w:val="0"/>
      <w:marBottom w:val="0"/>
      <w:divBdr>
        <w:top w:val="none" w:sz="0" w:space="0" w:color="auto"/>
        <w:left w:val="none" w:sz="0" w:space="0" w:color="auto"/>
        <w:bottom w:val="none" w:sz="0" w:space="0" w:color="auto"/>
        <w:right w:val="none" w:sz="0" w:space="0" w:color="auto"/>
      </w:divBdr>
    </w:div>
    <w:div w:id="395470152">
      <w:bodyDiv w:val="1"/>
      <w:marLeft w:val="0"/>
      <w:marRight w:val="0"/>
      <w:marTop w:val="0"/>
      <w:marBottom w:val="0"/>
      <w:divBdr>
        <w:top w:val="none" w:sz="0" w:space="0" w:color="auto"/>
        <w:left w:val="none" w:sz="0" w:space="0" w:color="auto"/>
        <w:bottom w:val="none" w:sz="0" w:space="0" w:color="auto"/>
        <w:right w:val="none" w:sz="0" w:space="0" w:color="auto"/>
      </w:divBdr>
    </w:div>
    <w:div w:id="476261238">
      <w:bodyDiv w:val="1"/>
      <w:marLeft w:val="0"/>
      <w:marRight w:val="0"/>
      <w:marTop w:val="0"/>
      <w:marBottom w:val="0"/>
      <w:divBdr>
        <w:top w:val="none" w:sz="0" w:space="0" w:color="auto"/>
        <w:left w:val="none" w:sz="0" w:space="0" w:color="auto"/>
        <w:bottom w:val="none" w:sz="0" w:space="0" w:color="auto"/>
        <w:right w:val="none" w:sz="0" w:space="0" w:color="auto"/>
      </w:divBdr>
    </w:div>
    <w:div w:id="603535057">
      <w:bodyDiv w:val="1"/>
      <w:marLeft w:val="0"/>
      <w:marRight w:val="0"/>
      <w:marTop w:val="0"/>
      <w:marBottom w:val="0"/>
      <w:divBdr>
        <w:top w:val="none" w:sz="0" w:space="0" w:color="auto"/>
        <w:left w:val="none" w:sz="0" w:space="0" w:color="auto"/>
        <w:bottom w:val="none" w:sz="0" w:space="0" w:color="auto"/>
        <w:right w:val="none" w:sz="0" w:space="0" w:color="auto"/>
      </w:divBdr>
    </w:div>
    <w:div w:id="627902838">
      <w:bodyDiv w:val="1"/>
      <w:marLeft w:val="0"/>
      <w:marRight w:val="0"/>
      <w:marTop w:val="0"/>
      <w:marBottom w:val="0"/>
      <w:divBdr>
        <w:top w:val="none" w:sz="0" w:space="0" w:color="auto"/>
        <w:left w:val="none" w:sz="0" w:space="0" w:color="auto"/>
        <w:bottom w:val="none" w:sz="0" w:space="0" w:color="auto"/>
        <w:right w:val="none" w:sz="0" w:space="0" w:color="auto"/>
      </w:divBdr>
    </w:div>
    <w:div w:id="696472617">
      <w:bodyDiv w:val="1"/>
      <w:marLeft w:val="0"/>
      <w:marRight w:val="0"/>
      <w:marTop w:val="0"/>
      <w:marBottom w:val="0"/>
      <w:divBdr>
        <w:top w:val="none" w:sz="0" w:space="0" w:color="auto"/>
        <w:left w:val="none" w:sz="0" w:space="0" w:color="auto"/>
        <w:bottom w:val="none" w:sz="0" w:space="0" w:color="auto"/>
        <w:right w:val="none" w:sz="0" w:space="0" w:color="auto"/>
      </w:divBdr>
    </w:div>
    <w:div w:id="734814859">
      <w:bodyDiv w:val="1"/>
      <w:marLeft w:val="0"/>
      <w:marRight w:val="0"/>
      <w:marTop w:val="0"/>
      <w:marBottom w:val="0"/>
      <w:divBdr>
        <w:top w:val="none" w:sz="0" w:space="0" w:color="auto"/>
        <w:left w:val="none" w:sz="0" w:space="0" w:color="auto"/>
        <w:bottom w:val="none" w:sz="0" w:space="0" w:color="auto"/>
        <w:right w:val="none" w:sz="0" w:space="0" w:color="auto"/>
      </w:divBdr>
    </w:div>
    <w:div w:id="812482151">
      <w:bodyDiv w:val="1"/>
      <w:marLeft w:val="0"/>
      <w:marRight w:val="0"/>
      <w:marTop w:val="0"/>
      <w:marBottom w:val="0"/>
      <w:divBdr>
        <w:top w:val="none" w:sz="0" w:space="0" w:color="auto"/>
        <w:left w:val="none" w:sz="0" w:space="0" w:color="auto"/>
        <w:bottom w:val="none" w:sz="0" w:space="0" w:color="auto"/>
        <w:right w:val="none" w:sz="0" w:space="0" w:color="auto"/>
      </w:divBdr>
    </w:div>
    <w:div w:id="818615634">
      <w:bodyDiv w:val="1"/>
      <w:marLeft w:val="0"/>
      <w:marRight w:val="0"/>
      <w:marTop w:val="0"/>
      <w:marBottom w:val="0"/>
      <w:divBdr>
        <w:top w:val="none" w:sz="0" w:space="0" w:color="auto"/>
        <w:left w:val="none" w:sz="0" w:space="0" w:color="auto"/>
        <w:bottom w:val="none" w:sz="0" w:space="0" w:color="auto"/>
        <w:right w:val="none" w:sz="0" w:space="0" w:color="auto"/>
      </w:divBdr>
    </w:div>
    <w:div w:id="829054888">
      <w:bodyDiv w:val="1"/>
      <w:marLeft w:val="0"/>
      <w:marRight w:val="0"/>
      <w:marTop w:val="0"/>
      <w:marBottom w:val="0"/>
      <w:divBdr>
        <w:top w:val="none" w:sz="0" w:space="0" w:color="auto"/>
        <w:left w:val="none" w:sz="0" w:space="0" w:color="auto"/>
        <w:bottom w:val="none" w:sz="0" w:space="0" w:color="auto"/>
        <w:right w:val="none" w:sz="0" w:space="0" w:color="auto"/>
      </w:divBdr>
    </w:div>
    <w:div w:id="853113614">
      <w:bodyDiv w:val="1"/>
      <w:marLeft w:val="0"/>
      <w:marRight w:val="0"/>
      <w:marTop w:val="0"/>
      <w:marBottom w:val="0"/>
      <w:divBdr>
        <w:top w:val="none" w:sz="0" w:space="0" w:color="auto"/>
        <w:left w:val="none" w:sz="0" w:space="0" w:color="auto"/>
        <w:bottom w:val="none" w:sz="0" w:space="0" w:color="auto"/>
        <w:right w:val="none" w:sz="0" w:space="0" w:color="auto"/>
      </w:divBdr>
    </w:div>
    <w:div w:id="876090189">
      <w:bodyDiv w:val="1"/>
      <w:marLeft w:val="0"/>
      <w:marRight w:val="0"/>
      <w:marTop w:val="0"/>
      <w:marBottom w:val="0"/>
      <w:divBdr>
        <w:top w:val="none" w:sz="0" w:space="0" w:color="auto"/>
        <w:left w:val="none" w:sz="0" w:space="0" w:color="auto"/>
        <w:bottom w:val="none" w:sz="0" w:space="0" w:color="auto"/>
        <w:right w:val="none" w:sz="0" w:space="0" w:color="auto"/>
      </w:divBdr>
    </w:div>
    <w:div w:id="922374781">
      <w:bodyDiv w:val="1"/>
      <w:marLeft w:val="0"/>
      <w:marRight w:val="0"/>
      <w:marTop w:val="0"/>
      <w:marBottom w:val="0"/>
      <w:divBdr>
        <w:top w:val="none" w:sz="0" w:space="0" w:color="auto"/>
        <w:left w:val="none" w:sz="0" w:space="0" w:color="auto"/>
        <w:bottom w:val="none" w:sz="0" w:space="0" w:color="auto"/>
        <w:right w:val="none" w:sz="0" w:space="0" w:color="auto"/>
      </w:divBdr>
    </w:div>
    <w:div w:id="989022848">
      <w:bodyDiv w:val="1"/>
      <w:marLeft w:val="0"/>
      <w:marRight w:val="0"/>
      <w:marTop w:val="0"/>
      <w:marBottom w:val="0"/>
      <w:divBdr>
        <w:top w:val="none" w:sz="0" w:space="0" w:color="auto"/>
        <w:left w:val="none" w:sz="0" w:space="0" w:color="auto"/>
        <w:bottom w:val="none" w:sz="0" w:space="0" w:color="auto"/>
        <w:right w:val="none" w:sz="0" w:space="0" w:color="auto"/>
      </w:divBdr>
    </w:div>
    <w:div w:id="1019887345">
      <w:bodyDiv w:val="1"/>
      <w:marLeft w:val="0"/>
      <w:marRight w:val="0"/>
      <w:marTop w:val="0"/>
      <w:marBottom w:val="0"/>
      <w:divBdr>
        <w:top w:val="none" w:sz="0" w:space="0" w:color="auto"/>
        <w:left w:val="none" w:sz="0" w:space="0" w:color="auto"/>
        <w:bottom w:val="none" w:sz="0" w:space="0" w:color="auto"/>
        <w:right w:val="none" w:sz="0" w:space="0" w:color="auto"/>
      </w:divBdr>
    </w:div>
    <w:div w:id="1174997456">
      <w:bodyDiv w:val="1"/>
      <w:marLeft w:val="0"/>
      <w:marRight w:val="0"/>
      <w:marTop w:val="0"/>
      <w:marBottom w:val="0"/>
      <w:divBdr>
        <w:top w:val="none" w:sz="0" w:space="0" w:color="auto"/>
        <w:left w:val="none" w:sz="0" w:space="0" w:color="auto"/>
        <w:bottom w:val="none" w:sz="0" w:space="0" w:color="auto"/>
        <w:right w:val="none" w:sz="0" w:space="0" w:color="auto"/>
      </w:divBdr>
    </w:div>
    <w:div w:id="1192722320">
      <w:bodyDiv w:val="1"/>
      <w:marLeft w:val="0"/>
      <w:marRight w:val="0"/>
      <w:marTop w:val="0"/>
      <w:marBottom w:val="0"/>
      <w:divBdr>
        <w:top w:val="none" w:sz="0" w:space="0" w:color="auto"/>
        <w:left w:val="none" w:sz="0" w:space="0" w:color="auto"/>
        <w:bottom w:val="none" w:sz="0" w:space="0" w:color="auto"/>
        <w:right w:val="none" w:sz="0" w:space="0" w:color="auto"/>
      </w:divBdr>
    </w:div>
    <w:div w:id="1197767865">
      <w:bodyDiv w:val="1"/>
      <w:marLeft w:val="0"/>
      <w:marRight w:val="0"/>
      <w:marTop w:val="0"/>
      <w:marBottom w:val="0"/>
      <w:divBdr>
        <w:top w:val="none" w:sz="0" w:space="0" w:color="auto"/>
        <w:left w:val="none" w:sz="0" w:space="0" w:color="auto"/>
        <w:bottom w:val="none" w:sz="0" w:space="0" w:color="auto"/>
        <w:right w:val="none" w:sz="0" w:space="0" w:color="auto"/>
      </w:divBdr>
    </w:div>
    <w:div w:id="1238007256">
      <w:bodyDiv w:val="1"/>
      <w:marLeft w:val="0"/>
      <w:marRight w:val="0"/>
      <w:marTop w:val="0"/>
      <w:marBottom w:val="0"/>
      <w:divBdr>
        <w:top w:val="none" w:sz="0" w:space="0" w:color="auto"/>
        <w:left w:val="none" w:sz="0" w:space="0" w:color="auto"/>
        <w:bottom w:val="none" w:sz="0" w:space="0" w:color="auto"/>
        <w:right w:val="none" w:sz="0" w:space="0" w:color="auto"/>
      </w:divBdr>
    </w:div>
    <w:div w:id="1240678181">
      <w:bodyDiv w:val="1"/>
      <w:marLeft w:val="0"/>
      <w:marRight w:val="0"/>
      <w:marTop w:val="0"/>
      <w:marBottom w:val="0"/>
      <w:divBdr>
        <w:top w:val="none" w:sz="0" w:space="0" w:color="auto"/>
        <w:left w:val="none" w:sz="0" w:space="0" w:color="auto"/>
        <w:bottom w:val="none" w:sz="0" w:space="0" w:color="auto"/>
        <w:right w:val="none" w:sz="0" w:space="0" w:color="auto"/>
      </w:divBdr>
    </w:div>
    <w:div w:id="1274021162">
      <w:bodyDiv w:val="1"/>
      <w:marLeft w:val="0"/>
      <w:marRight w:val="0"/>
      <w:marTop w:val="0"/>
      <w:marBottom w:val="0"/>
      <w:divBdr>
        <w:top w:val="none" w:sz="0" w:space="0" w:color="auto"/>
        <w:left w:val="none" w:sz="0" w:space="0" w:color="auto"/>
        <w:bottom w:val="none" w:sz="0" w:space="0" w:color="auto"/>
        <w:right w:val="none" w:sz="0" w:space="0" w:color="auto"/>
      </w:divBdr>
    </w:div>
    <w:div w:id="1342123355">
      <w:bodyDiv w:val="1"/>
      <w:marLeft w:val="0"/>
      <w:marRight w:val="0"/>
      <w:marTop w:val="0"/>
      <w:marBottom w:val="0"/>
      <w:divBdr>
        <w:top w:val="none" w:sz="0" w:space="0" w:color="auto"/>
        <w:left w:val="none" w:sz="0" w:space="0" w:color="auto"/>
        <w:bottom w:val="none" w:sz="0" w:space="0" w:color="auto"/>
        <w:right w:val="none" w:sz="0" w:space="0" w:color="auto"/>
      </w:divBdr>
    </w:div>
    <w:div w:id="1361668513">
      <w:bodyDiv w:val="1"/>
      <w:marLeft w:val="0"/>
      <w:marRight w:val="0"/>
      <w:marTop w:val="0"/>
      <w:marBottom w:val="0"/>
      <w:divBdr>
        <w:top w:val="none" w:sz="0" w:space="0" w:color="auto"/>
        <w:left w:val="none" w:sz="0" w:space="0" w:color="auto"/>
        <w:bottom w:val="none" w:sz="0" w:space="0" w:color="auto"/>
        <w:right w:val="none" w:sz="0" w:space="0" w:color="auto"/>
      </w:divBdr>
    </w:div>
    <w:div w:id="1409694389">
      <w:bodyDiv w:val="1"/>
      <w:marLeft w:val="0"/>
      <w:marRight w:val="0"/>
      <w:marTop w:val="0"/>
      <w:marBottom w:val="0"/>
      <w:divBdr>
        <w:top w:val="none" w:sz="0" w:space="0" w:color="auto"/>
        <w:left w:val="none" w:sz="0" w:space="0" w:color="auto"/>
        <w:bottom w:val="none" w:sz="0" w:space="0" w:color="auto"/>
        <w:right w:val="none" w:sz="0" w:space="0" w:color="auto"/>
      </w:divBdr>
    </w:div>
    <w:div w:id="1444424293">
      <w:bodyDiv w:val="1"/>
      <w:marLeft w:val="0"/>
      <w:marRight w:val="0"/>
      <w:marTop w:val="0"/>
      <w:marBottom w:val="0"/>
      <w:divBdr>
        <w:top w:val="none" w:sz="0" w:space="0" w:color="auto"/>
        <w:left w:val="none" w:sz="0" w:space="0" w:color="auto"/>
        <w:bottom w:val="none" w:sz="0" w:space="0" w:color="auto"/>
        <w:right w:val="none" w:sz="0" w:space="0" w:color="auto"/>
      </w:divBdr>
    </w:div>
    <w:div w:id="1515455657">
      <w:bodyDiv w:val="1"/>
      <w:marLeft w:val="0"/>
      <w:marRight w:val="0"/>
      <w:marTop w:val="0"/>
      <w:marBottom w:val="0"/>
      <w:divBdr>
        <w:top w:val="none" w:sz="0" w:space="0" w:color="auto"/>
        <w:left w:val="none" w:sz="0" w:space="0" w:color="auto"/>
        <w:bottom w:val="none" w:sz="0" w:space="0" w:color="auto"/>
        <w:right w:val="none" w:sz="0" w:space="0" w:color="auto"/>
      </w:divBdr>
    </w:div>
    <w:div w:id="1541363242">
      <w:bodyDiv w:val="1"/>
      <w:marLeft w:val="0"/>
      <w:marRight w:val="0"/>
      <w:marTop w:val="0"/>
      <w:marBottom w:val="0"/>
      <w:divBdr>
        <w:top w:val="none" w:sz="0" w:space="0" w:color="auto"/>
        <w:left w:val="none" w:sz="0" w:space="0" w:color="auto"/>
        <w:bottom w:val="none" w:sz="0" w:space="0" w:color="auto"/>
        <w:right w:val="none" w:sz="0" w:space="0" w:color="auto"/>
      </w:divBdr>
    </w:div>
    <w:div w:id="1708287687">
      <w:bodyDiv w:val="1"/>
      <w:marLeft w:val="0"/>
      <w:marRight w:val="0"/>
      <w:marTop w:val="0"/>
      <w:marBottom w:val="0"/>
      <w:divBdr>
        <w:top w:val="none" w:sz="0" w:space="0" w:color="auto"/>
        <w:left w:val="none" w:sz="0" w:space="0" w:color="auto"/>
        <w:bottom w:val="none" w:sz="0" w:space="0" w:color="auto"/>
        <w:right w:val="none" w:sz="0" w:space="0" w:color="auto"/>
      </w:divBdr>
    </w:div>
    <w:div w:id="1723216625">
      <w:bodyDiv w:val="1"/>
      <w:marLeft w:val="0"/>
      <w:marRight w:val="0"/>
      <w:marTop w:val="0"/>
      <w:marBottom w:val="0"/>
      <w:divBdr>
        <w:top w:val="none" w:sz="0" w:space="0" w:color="auto"/>
        <w:left w:val="none" w:sz="0" w:space="0" w:color="auto"/>
        <w:bottom w:val="none" w:sz="0" w:space="0" w:color="auto"/>
        <w:right w:val="none" w:sz="0" w:space="0" w:color="auto"/>
      </w:divBdr>
    </w:div>
    <w:div w:id="1728528346">
      <w:bodyDiv w:val="1"/>
      <w:marLeft w:val="0"/>
      <w:marRight w:val="0"/>
      <w:marTop w:val="0"/>
      <w:marBottom w:val="0"/>
      <w:divBdr>
        <w:top w:val="none" w:sz="0" w:space="0" w:color="auto"/>
        <w:left w:val="none" w:sz="0" w:space="0" w:color="auto"/>
        <w:bottom w:val="none" w:sz="0" w:space="0" w:color="auto"/>
        <w:right w:val="none" w:sz="0" w:space="0" w:color="auto"/>
      </w:divBdr>
    </w:div>
    <w:div w:id="1754274762">
      <w:bodyDiv w:val="1"/>
      <w:marLeft w:val="0"/>
      <w:marRight w:val="0"/>
      <w:marTop w:val="0"/>
      <w:marBottom w:val="0"/>
      <w:divBdr>
        <w:top w:val="none" w:sz="0" w:space="0" w:color="auto"/>
        <w:left w:val="none" w:sz="0" w:space="0" w:color="auto"/>
        <w:bottom w:val="none" w:sz="0" w:space="0" w:color="auto"/>
        <w:right w:val="none" w:sz="0" w:space="0" w:color="auto"/>
      </w:divBdr>
    </w:div>
    <w:div w:id="1815759316">
      <w:bodyDiv w:val="1"/>
      <w:marLeft w:val="0"/>
      <w:marRight w:val="0"/>
      <w:marTop w:val="0"/>
      <w:marBottom w:val="0"/>
      <w:divBdr>
        <w:top w:val="none" w:sz="0" w:space="0" w:color="auto"/>
        <w:left w:val="none" w:sz="0" w:space="0" w:color="auto"/>
        <w:bottom w:val="none" w:sz="0" w:space="0" w:color="auto"/>
        <w:right w:val="none" w:sz="0" w:space="0" w:color="auto"/>
      </w:divBdr>
    </w:div>
    <w:div w:id="1842816540">
      <w:bodyDiv w:val="1"/>
      <w:marLeft w:val="0"/>
      <w:marRight w:val="0"/>
      <w:marTop w:val="0"/>
      <w:marBottom w:val="0"/>
      <w:divBdr>
        <w:top w:val="none" w:sz="0" w:space="0" w:color="auto"/>
        <w:left w:val="none" w:sz="0" w:space="0" w:color="auto"/>
        <w:bottom w:val="none" w:sz="0" w:space="0" w:color="auto"/>
        <w:right w:val="none" w:sz="0" w:space="0" w:color="auto"/>
      </w:divBdr>
    </w:div>
    <w:div w:id="1857771446">
      <w:bodyDiv w:val="1"/>
      <w:marLeft w:val="0"/>
      <w:marRight w:val="0"/>
      <w:marTop w:val="0"/>
      <w:marBottom w:val="0"/>
      <w:divBdr>
        <w:top w:val="none" w:sz="0" w:space="0" w:color="auto"/>
        <w:left w:val="none" w:sz="0" w:space="0" w:color="auto"/>
        <w:bottom w:val="none" w:sz="0" w:space="0" w:color="auto"/>
        <w:right w:val="none" w:sz="0" w:space="0" w:color="auto"/>
      </w:divBdr>
    </w:div>
    <w:div w:id="1929149711">
      <w:bodyDiv w:val="1"/>
      <w:marLeft w:val="0"/>
      <w:marRight w:val="0"/>
      <w:marTop w:val="0"/>
      <w:marBottom w:val="0"/>
      <w:divBdr>
        <w:top w:val="none" w:sz="0" w:space="0" w:color="auto"/>
        <w:left w:val="none" w:sz="0" w:space="0" w:color="auto"/>
        <w:bottom w:val="none" w:sz="0" w:space="0" w:color="auto"/>
        <w:right w:val="none" w:sz="0" w:space="0" w:color="auto"/>
      </w:divBdr>
    </w:div>
    <w:div w:id="1972787309">
      <w:bodyDiv w:val="1"/>
      <w:marLeft w:val="0"/>
      <w:marRight w:val="0"/>
      <w:marTop w:val="0"/>
      <w:marBottom w:val="0"/>
      <w:divBdr>
        <w:top w:val="none" w:sz="0" w:space="0" w:color="auto"/>
        <w:left w:val="none" w:sz="0" w:space="0" w:color="auto"/>
        <w:bottom w:val="none" w:sz="0" w:space="0" w:color="auto"/>
        <w:right w:val="none" w:sz="0" w:space="0" w:color="auto"/>
      </w:divBdr>
    </w:div>
    <w:div w:id="1983582346">
      <w:bodyDiv w:val="1"/>
      <w:marLeft w:val="0"/>
      <w:marRight w:val="0"/>
      <w:marTop w:val="0"/>
      <w:marBottom w:val="0"/>
      <w:divBdr>
        <w:top w:val="none" w:sz="0" w:space="0" w:color="auto"/>
        <w:left w:val="none" w:sz="0" w:space="0" w:color="auto"/>
        <w:bottom w:val="none" w:sz="0" w:space="0" w:color="auto"/>
        <w:right w:val="none" w:sz="0" w:space="0" w:color="auto"/>
      </w:divBdr>
    </w:div>
    <w:div w:id="212318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3.xml"/><Relationship Id="rId26" Type="http://schemas.openxmlformats.org/officeDocument/2006/relationships/chart" Target="charts/chart12.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image" Target="media/image4.png"/><Relationship Id="rId50"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chart" Target="charts/chart11.xml"/><Relationship Id="rId33" Type="http://schemas.openxmlformats.org/officeDocument/2006/relationships/footer" Target="footer5.xml"/><Relationship Id="rId38" Type="http://schemas.openxmlformats.org/officeDocument/2006/relationships/chart" Target="charts/chart21.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footer" Target="footer4.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9.xml"/><Relationship Id="rId49" Type="http://schemas.openxmlformats.org/officeDocument/2006/relationships/chart" Target="charts/chart31.xml"/><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header" Target="header2.xml"/><Relationship Id="rId44" Type="http://schemas.openxmlformats.org/officeDocument/2006/relationships/chart" Target="charts/chart27.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0.xml"/><Relationship Id="rId8" Type="http://schemas.openxmlformats.org/officeDocument/2006/relationships/image" Target="media/image1.png"/><Relationship Id="rId51"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1.xml"/><Relationship Id="rId1" Type="http://schemas.microsoft.com/office/2011/relationships/chartStyle" Target="style1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2.xml"/><Relationship Id="rId1" Type="http://schemas.microsoft.com/office/2011/relationships/chartStyle" Target="styl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3.xml"/><Relationship Id="rId1" Type="http://schemas.microsoft.com/office/2011/relationships/chartStyle" Target="styl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5.xml"/><Relationship Id="rId1" Type="http://schemas.microsoft.com/office/2011/relationships/chartStyle" Target="style1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6.xml"/><Relationship Id="rId1" Type="http://schemas.microsoft.com/office/2011/relationships/chartStyle" Target="style16.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98" b="0" i="0" u="none" strike="noStrike" baseline="0">
                <a:solidFill>
                  <a:srgbClr val="000000"/>
                </a:solidFill>
                <a:latin typeface="Arial"/>
                <a:ea typeface="Arial"/>
                <a:cs typeface="Arial"/>
              </a:defRPr>
            </a:pPr>
            <a:r>
              <a:rPr lang="en-US"/>
              <a:t>MASCULIN</a:t>
            </a:r>
          </a:p>
        </c:rich>
      </c:tx>
      <c:layout>
        <c:manualLayout>
          <c:xMode val="edge"/>
          <c:yMode val="edge"/>
          <c:x val="0.40636042402826855"/>
          <c:y val="1.871657754010695E-2"/>
        </c:manualLayout>
      </c:layout>
      <c:overlay val="0"/>
      <c:spPr>
        <a:noFill/>
        <a:ln w="25321">
          <a:noFill/>
        </a:ln>
      </c:spPr>
    </c:title>
    <c:autoTitleDeleted val="0"/>
    <c:plotArea>
      <c:layout>
        <c:manualLayout>
          <c:layoutTarget val="inner"/>
          <c:xMode val="edge"/>
          <c:yMode val="edge"/>
          <c:x val="4.5936395759717315E-2"/>
          <c:y val="0.11229946524064172"/>
          <c:w val="0.89045936395759717"/>
          <c:h val="0.74598930481283421"/>
        </c:manualLayout>
      </c:layout>
      <c:barChart>
        <c:barDir val="bar"/>
        <c:grouping val="clustered"/>
        <c:varyColors val="0"/>
        <c:ser>
          <c:idx val="0"/>
          <c:order val="0"/>
          <c:tx>
            <c:strRef>
              <c:f>Sheet1!$A$2</c:f>
              <c:strCache>
                <c:ptCount val="1"/>
                <c:pt idx="0">
                  <c:v>2000</c:v>
                </c:pt>
              </c:strCache>
            </c:strRef>
          </c:tx>
          <c:spPr>
            <a:solidFill>
              <a:srgbClr val="A6CAF0"/>
            </a:solidFill>
            <a:ln w="25321">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F64-4E09-AE24-E806A41EAF45}"/>
                </c:ext>
              </c:extLst>
            </c:dLbl>
            <c:dLbl>
              <c:idx val="5"/>
              <c:delete val="1"/>
              <c:extLst>
                <c:ext xmlns:c15="http://schemas.microsoft.com/office/drawing/2012/chart" uri="{CE6537A1-D6FC-4f65-9D91-7224C49458BB}"/>
                <c:ext xmlns:c16="http://schemas.microsoft.com/office/drawing/2014/chart" uri="{C3380CC4-5D6E-409C-BE32-E72D297353CC}">
                  <c16:uniqueId val="{00000004-EF64-4E09-AE24-E806A41EAF45}"/>
                </c:ext>
              </c:extLst>
            </c:dLbl>
            <c:dLbl>
              <c:idx val="15"/>
              <c:layout>
                <c:manualLayout>
                  <c:xMode val="edge"/>
                  <c:yMode val="edge"/>
                  <c:x val="0.46643109540636041"/>
                  <c:y val="0.70320855614973266"/>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64-4E09-AE24-E806A41EAF45}"/>
                </c:ext>
              </c:extLst>
            </c:dLbl>
            <c:dLbl>
              <c:idx val="25"/>
              <c:layout>
                <c:manualLayout>
                  <c:xMode val="edge"/>
                  <c:yMode val="edge"/>
                  <c:x val="0.60070671378091878"/>
                  <c:y val="0.64438502673796794"/>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64-4E09-AE24-E806A41EAF45}"/>
                </c:ext>
              </c:extLst>
            </c:dLbl>
            <c:dLbl>
              <c:idx val="26"/>
              <c:layout>
                <c:manualLayout>
                  <c:xMode val="edge"/>
                  <c:yMode val="edge"/>
                  <c:x val="0.59363957597173145"/>
                  <c:y val="0.63368983957219249"/>
                </c:manualLayout>
              </c:layout>
              <c:spPr>
                <a:noFill/>
                <a:ln w="25321">
                  <a:noFill/>
                </a:ln>
              </c:spPr>
              <c:txPr>
                <a:bodyPr/>
                <a:lstStyle/>
                <a:p>
                  <a:pPr>
                    <a:defRPr sz="798"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64-4E09-AE24-E806A41EAF45}"/>
                </c:ext>
              </c:extLst>
            </c:dLbl>
            <c:dLbl>
              <c:idx val="29"/>
              <c:delete val="1"/>
              <c:extLst>
                <c:ext xmlns:c15="http://schemas.microsoft.com/office/drawing/2012/chart" uri="{CE6537A1-D6FC-4f65-9D91-7224C49458BB}"/>
                <c:ext xmlns:c16="http://schemas.microsoft.com/office/drawing/2014/chart" uri="{C3380CC4-5D6E-409C-BE32-E72D297353CC}">
                  <c16:uniqueId val="{00000005-EF64-4E09-AE24-E806A41EAF45}"/>
                </c:ext>
              </c:extLst>
            </c:dLbl>
            <c:dLbl>
              <c:idx val="50"/>
              <c:layout>
                <c:manualLayout>
                  <c:xMode val="edge"/>
                  <c:yMode val="edge"/>
                  <c:x val="0.42402826855123676"/>
                  <c:y val="0.45187165775401067"/>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64-4E09-AE24-E806A41EAF45}"/>
                </c:ext>
              </c:extLst>
            </c:dLbl>
            <c:dLbl>
              <c:idx val="55"/>
              <c:layout>
                <c:manualLayout>
                  <c:xMode val="edge"/>
                  <c:yMode val="edge"/>
                  <c:x val="0.60070671378091878"/>
                  <c:y val="0.41176470588235292"/>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64-4E09-AE24-E806A41EAF45}"/>
                </c:ext>
              </c:extLst>
            </c:dLbl>
            <c:dLbl>
              <c:idx val="71"/>
              <c:delete val="1"/>
              <c:extLst>
                <c:ext xmlns:c15="http://schemas.microsoft.com/office/drawing/2012/chart" uri="{CE6537A1-D6FC-4f65-9D91-7224C49458BB}"/>
                <c:ext xmlns:c16="http://schemas.microsoft.com/office/drawing/2014/chart" uri="{C3380CC4-5D6E-409C-BE32-E72D297353CC}">
                  <c16:uniqueId val="{00000008-EF64-4E09-AE24-E806A41EAF45}"/>
                </c:ext>
              </c:extLst>
            </c:dLbl>
            <c:spPr>
              <a:noFill/>
              <a:ln w="25321">
                <a:noFill/>
              </a:ln>
            </c:spPr>
            <c:txPr>
              <a:bodyPr wrap="square" lIns="38100" tIns="19050" rIns="38100" bIns="19050" anchor="ctr">
                <a:spAutoFit/>
              </a:bodyPr>
              <a:lstStyle/>
              <a:p>
                <a:pPr>
                  <a:defRPr sz="897" b="1"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numRef>
              <c:f>Sheet1!$B$1:$CZ$1</c:f>
              <c:numCache>
                <c:formatCode>General</c:formatCode>
                <c:ptCount val="103"/>
              </c:numCache>
            </c:numRef>
          </c:cat>
          <c:val>
            <c:numRef>
              <c:f>Sheet1!$B$2:$CZ$2</c:f>
              <c:numCache>
                <c:formatCode>General</c:formatCode>
                <c:ptCount val="103"/>
                <c:pt idx="0">
                  <c:v>4080</c:v>
                </c:pt>
                <c:pt idx="1">
                  <c:v>4143</c:v>
                </c:pt>
                <c:pt idx="2">
                  <c:v>4211</c:v>
                </c:pt>
                <c:pt idx="3">
                  <c:v>4025</c:v>
                </c:pt>
                <c:pt idx="4">
                  <c:v>4010</c:v>
                </c:pt>
                <c:pt idx="5">
                  <c:v>4321</c:v>
                </c:pt>
                <c:pt idx="6">
                  <c:v>4507</c:v>
                </c:pt>
                <c:pt idx="7">
                  <c:v>4689</c:v>
                </c:pt>
                <c:pt idx="8">
                  <c:v>4612</c:v>
                </c:pt>
                <c:pt idx="9">
                  <c:v>5209</c:v>
                </c:pt>
                <c:pt idx="10">
                  <c:v>6562</c:v>
                </c:pt>
                <c:pt idx="11">
                  <c:v>6868</c:v>
                </c:pt>
                <c:pt idx="12">
                  <c:v>6910</c:v>
                </c:pt>
                <c:pt idx="13">
                  <c:v>6648</c:v>
                </c:pt>
                <c:pt idx="14">
                  <c:v>6062</c:v>
                </c:pt>
                <c:pt idx="15">
                  <c:v>5978</c:v>
                </c:pt>
                <c:pt idx="16">
                  <c:v>5402</c:v>
                </c:pt>
                <c:pt idx="17">
                  <c:v>5677</c:v>
                </c:pt>
                <c:pt idx="18">
                  <c:v>6586</c:v>
                </c:pt>
                <c:pt idx="19">
                  <c:v>6980</c:v>
                </c:pt>
                <c:pt idx="20">
                  <c:v>7213</c:v>
                </c:pt>
                <c:pt idx="21">
                  <c:v>7137</c:v>
                </c:pt>
                <c:pt idx="22">
                  <c:v>7229</c:v>
                </c:pt>
                <c:pt idx="23">
                  <c:v>7228</c:v>
                </c:pt>
                <c:pt idx="24">
                  <c:v>7201</c:v>
                </c:pt>
                <c:pt idx="25">
                  <c:v>7218</c:v>
                </c:pt>
                <c:pt idx="26">
                  <c:v>6664</c:v>
                </c:pt>
                <c:pt idx="27">
                  <c:v>6993</c:v>
                </c:pt>
                <c:pt idx="28">
                  <c:v>7540</c:v>
                </c:pt>
                <c:pt idx="29">
                  <c:v>7792</c:v>
                </c:pt>
                <c:pt idx="30">
                  <c:v>8279</c:v>
                </c:pt>
                <c:pt idx="31">
                  <c:v>9667</c:v>
                </c:pt>
                <c:pt idx="32">
                  <c:v>10383</c:v>
                </c:pt>
                <c:pt idx="33">
                  <c:v>4377</c:v>
                </c:pt>
                <c:pt idx="34">
                  <c:v>4590</c:v>
                </c:pt>
                <c:pt idx="35">
                  <c:v>4618</c:v>
                </c:pt>
                <c:pt idx="36">
                  <c:v>4488</c:v>
                </c:pt>
                <c:pt idx="37">
                  <c:v>4856</c:v>
                </c:pt>
                <c:pt idx="38">
                  <c:v>5199</c:v>
                </c:pt>
                <c:pt idx="39">
                  <c:v>5377</c:v>
                </c:pt>
                <c:pt idx="40">
                  <c:v>5571</c:v>
                </c:pt>
                <c:pt idx="41">
                  <c:v>6022</c:v>
                </c:pt>
                <c:pt idx="42">
                  <c:v>6134</c:v>
                </c:pt>
                <c:pt idx="43">
                  <c:v>6286</c:v>
                </c:pt>
                <c:pt idx="44">
                  <c:v>6948</c:v>
                </c:pt>
                <c:pt idx="45">
                  <c:v>6248</c:v>
                </c:pt>
                <c:pt idx="46">
                  <c:v>6280</c:v>
                </c:pt>
                <c:pt idx="47">
                  <c:v>6027</c:v>
                </c:pt>
                <c:pt idx="48">
                  <c:v>5802</c:v>
                </c:pt>
                <c:pt idx="49">
                  <c:v>5805</c:v>
                </c:pt>
                <c:pt idx="50">
                  <c:v>6282</c:v>
                </c:pt>
                <c:pt idx="51">
                  <c:v>4461</c:v>
                </c:pt>
                <c:pt idx="52">
                  <c:v>4237</c:v>
                </c:pt>
                <c:pt idx="53">
                  <c:v>4371</c:v>
                </c:pt>
                <c:pt idx="54">
                  <c:v>3952</c:v>
                </c:pt>
                <c:pt idx="55">
                  <c:v>4274</c:v>
                </c:pt>
                <c:pt idx="56">
                  <c:v>3833</c:v>
                </c:pt>
                <c:pt idx="57">
                  <c:v>3777</c:v>
                </c:pt>
                <c:pt idx="58">
                  <c:v>3855</c:v>
                </c:pt>
                <c:pt idx="59">
                  <c:v>4306</c:v>
                </c:pt>
                <c:pt idx="60">
                  <c:v>4971</c:v>
                </c:pt>
                <c:pt idx="61">
                  <c:v>4899</c:v>
                </c:pt>
                <c:pt idx="62">
                  <c:v>4477</c:v>
                </c:pt>
                <c:pt idx="63">
                  <c:v>4601</c:v>
                </c:pt>
                <c:pt idx="64">
                  <c:v>4494</c:v>
                </c:pt>
                <c:pt idx="65">
                  <c:v>4390</c:v>
                </c:pt>
                <c:pt idx="66">
                  <c:v>4120</c:v>
                </c:pt>
                <c:pt idx="67">
                  <c:v>4118</c:v>
                </c:pt>
                <c:pt idx="68">
                  <c:v>3724</c:v>
                </c:pt>
                <c:pt idx="69">
                  <c:v>3601</c:v>
                </c:pt>
                <c:pt idx="70">
                  <c:v>3173</c:v>
                </c:pt>
                <c:pt idx="71">
                  <c:v>3132</c:v>
                </c:pt>
                <c:pt idx="72">
                  <c:v>2800</c:v>
                </c:pt>
                <c:pt idx="73">
                  <c:v>2679</c:v>
                </c:pt>
                <c:pt idx="74">
                  <c:v>2336</c:v>
                </c:pt>
                <c:pt idx="75">
                  <c:v>2169</c:v>
                </c:pt>
                <c:pt idx="76">
                  <c:v>1847</c:v>
                </c:pt>
                <c:pt idx="77">
                  <c:v>1622</c:v>
                </c:pt>
                <c:pt idx="78">
                  <c:v>1345</c:v>
                </c:pt>
                <c:pt idx="79">
                  <c:v>948</c:v>
                </c:pt>
                <c:pt idx="80">
                  <c:v>1015</c:v>
                </c:pt>
                <c:pt idx="81">
                  <c:v>304</c:v>
                </c:pt>
                <c:pt idx="82">
                  <c:v>395</c:v>
                </c:pt>
                <c:pt idx="83">
                  <c:v>600</c:v>
                </c:pt>
                <c:pt idx="84">
                  <c:v>630</c:v>
                </c:pt>
                <c:pt idx="85">
                  <c:v>525</c:v>
                </c:pt>
                <c:pt idx="86">
                  <c:v>513</c:v>
                </c:pt>
                <c:pt idx="87">
                  <c:v>493</c:v>
                </c:pt>
                <c:pt idx="88">
                  <c:v>483</c:v>
                </c:pt>
                <c:pt idx="89">
                  <c:v>296</c:v>
                </c:pt>
                <c:pt idx="90">
                  <c:v>249</c:v>
                </c:pt>
                <c:pt idx="91">
                  <c:v>10</c:v>
                </c:pt>
                <c:pt idx="92">
                  <c:v>4</c:v>
                </c:pt>
                <c:pt idx="93">
                  <c:v>4</c:v>
                </c:pt>
                <c:pt idx="94">
                  <c:v>1</c:v>
                </c:pt>
                <c:pt idx="95">
                  <c:v>1</c:v>
                </c:pt>
                <c:pt idx="96">
                  <c:v>1</c:v>
                </c:pt>
              </c:numCache>
            </c:numRef>
          </c:val>
          <c:extLst>
            <c:ext xmlns:c16="http://schemas.microsoft.com/office/drawing/2014/chart" uri="{C3380CC4-5D6E-409C-BE32-E72D297353CC}">
              <c16:uniqueId val="{00000009-EF64-4E09-AE24-E806A41EAF45}"/>
            </c:ext>
          </c:extLst>
        </c:ser>
        <c:ser>
          <c:idx val="1"/>
          <c:order val="1"/>
          <c:tx>
            <c:strRef>
              <c:f>Sheet1!$A$3</c:f>
              <c:strCache>
                <c:ptCount val="1"/>
                <c:pt idx="0">
                  <c:v>2023</c:v>
                </c:pt>
              </c:strCache>
            </c:strRef>
          </c:tx>
          <c:spPr>
            <a:noFill/>
            <a:ln w="3165">
              <a:solidFill>
                <a:srgbClr val="000080"/>
              </a:solidFill>
              <a:prstDash val="solid"/>
            </a:ln>
          </c:spPr>
          <c:invertIfNegative val="0"/>
          <c:cat>
            <c:numRef>
              <c:f>Sheet1!$B$1:$CZ$1</c:f>
              <c:numCache>
                <c:formatCode>General</c:formatCode>
                <c:ptCount val="103"/>
              </c:numCache>
            </c:numRef>
          </c:cat>
          <c:val>
            <c:numRef>
              <c:f>Sheet1!$B$3:$CZ$3</c:f>
              <c:numCache>
                <c:formatCode>General</c:formatCode>
                <c:ptCount val="103"/>
                <c:pt idx="0">
                  <c:v>2685</c:v>
                </c:pt>
                <c:pt idx="1">
                  <c:v>3007</c:v>
                </c:pt>
                <c:pt idx="2">
                  <c:v>3213</c:v>
                </c:pt>
                <c:pt idx="3">
                  <c:v>3231</c:v>
                </c:pt>
                <c:pt idx="4">
                  <c:v>3390</c:v>
                </c:pt>
                <c:pt idx="5">
                  <c:v>3504</c:v>
                </c:pt>
                <c:pt idx="6">
                  <c:v>3463</c:v>
                </c:pt>
                <c:pt idx="7">
                  <c:v>3590</c:v>
                </c:pt>
                <c:pt idx="8">
                  <c:v>3369</c:v>
                </c:pt>
                <c:pt idx="9">
                  <c:v>3305</c:v>
                </c:pt>
                <c:pt idx="10">
                  <c:v>3472</c:v>
                </c:pt>
                <c:pt idx="11">
                  <c:v>3495</c:v>
                </c:pt>
                <c:pt idx="12">
                  <c:v>3800</c:v>
                </c:pt>
                <c:pt idx="13">
                  <c:v>4080</c:v>
                </c:pt>
                <c:pt idx="14">
                  <c:v>3987</c:v>
                </c:pt>
                <c:pt idx="15">
                  <c:v>4130</c:v>
                </c:pt>
                <c:pt idx="16">
                  <c:v>4074</c:v>
                </c:pt>
                <c:pt idx="17">
                  <c:v>4276</c:v>
                </c:pt>
                <c:pt idx="18">
                  <c:v>4133</c:v>
                </c:pt>
                <c:pt idx="19">
                  <c:v>3934</c:v>
                </c:pt>
                <c:pt idx="20">
                  <c:v>3767</c:v>
                </c:pt>
                <c:pt idx="21">
                  <c:v>3834</c:v>
                </c:pt>
                <c:pt idx="22">
                  <c:v>4230</c:v>
                </c:pt>
                <c:pt idx="23">
                  <c:v>3892</c:v>
                </c:pt>
                <c:pt idx="24">
                  <c:v>4006</c:v>
                </c:pt>
                <c:pt idx="25">
                  <c:v>4041</c:v>
                </c:pt>
                <c:pt idx="26">
                  <c:v>3814</c:v>
                </c:pt>
                <c:pt idx="27">
                  <c:v>3749</c:v>
                </c:pt>
                <c:pt idx="28">
                  <c:v>4026</c:v>
                </c:pt>
                <c:pt idx="29">
                  <c:v>4246</c:v>
                </c:pt>
                <c:pt idx="30">
                  <c:v>4351</c:v>
                </c:pt>
                <c:pt idx="31">
                  <c:v>4212</c:v>
                </c:pt>
                <c:pt idx="32">
                  <c:v>4721</c:v>
                </c:pt>
                <c:pt idx="33">
                  <c:v>5888</c:v>
                </c:pt>
                <c:pt idx="34">
                  <c:v>6211</c:v>
                </c:pt>
                <c:pt idx="35">
                  <c:v>6302</c:v>
                </c:pt>
                <c:pt idx="36">
                  <c:v>6035</c:v>
                </c:pt>
                <c:pt idx="37">
                  <c:v>5542</c:v>
                </c:pt>
                <c:pt idx="38">
                  <c:v>5356</c:v>
                </c:pt>
                <c:pt idx="39">
                  <c:v>4898</c:v>
                </c:pt>
                <c:pt idx="40">
                  <c:v>5137</c:v>
                </c:pt>
                <c:pt idx="41">
                  <c:v>6037</c:v>
                </c:pt>
                <c:pt idx="42">
                  <c:v>6335</c:v>
                </c:pt>
                <c:pt idx="43">
                  <c:v>6650</c:v>
                </c:pt>
                <c:pt idx="44">
                  <c:v>6498</c:v>
                </c:pt>
                <c:pt idx="45">
                  <c:v>6607</c:v>
                </c:pt>
                <c:pt idx="46">
                  <c:v>6640</c:v>
                </c:pt>
                <c:pt idx="47">
                  <c:v>6576</c:v>
                </c:pt>
                <c:pt idx="48">
                  <c:v>6662</c:v>
                </c:pt>
                <c:pt idx="49">
                  <c:v>6156</c:v>
                </c:pt>
                <c:pt idx="50">
                  <c:v>6383</c:v>
                </c:pt>
                <c:pt idx="51">
                  <c:v>6862</c:v>
                </c:pt>
                <c:pt idx="52">
                  <c:v>7054</c:v>
                </c:pt>
                <c:pt idx="53">
                  <c:v>7470</c:v>
                </c:pt>
                <c:pt idx="54">
                  <c:v>8630</c:v>
                </c:pt>
                <c:pt idx="55">
                  <c:v>9188</c:v>
                </c:pt>
                <c:pt idx="56">
                  <c:v>3801</c:v>
                </c:pt>
                <c:pt idx="57">
                  <c:v>3968</c:v>
                </c:pt>
                <c:pt idx="58">
                  <c:v>3866</c:v>
                </c:pt>
                <c:pt idx="59">
                  <c:v>3731</c:v>
                </c:pt>
                <c:pt idx="60">
                  <c:v>3928</c:v>
                </c:pt>
                <c:pt idx="61">
                  <c:v>4207</c:v>
                </c:pt>
                <c:pt idx="62">
                  <c:v>4215</c:v>
                </c:pt>
                <c:pt idx="63">
                  <c:v>4275</c:v>
                </c:pt>
                <c:pt idx="64">
                  <c:v>4438</c:v>
                </c:pt>
                <c:pt idx="65">
                  <c:v>4374</c:v>
                </c:pt>
                <c:pt idx="66">
                  <c:v>4380</c:v>
                </c:pt>
                <c:pt idx="67">
                  <c:v>4549</c:v>
                </c:pt>
                <c:pt idx="68">
                  <c:v>4082</c:v>
                </c:pt>
                <c:pt idx="69">
                  <c:v>4036</c:v>
                </c:pt>
                <c:pt idx="70">
                  <c:v>3768</c:v>
                </c:pt>
                <c:pt idx="71">
                  <c:v>3390</c:v>
                </c:pt>
                <c:pt idx="72">
                  <c:v>3370</c:v>
                </c:pt>
                <c:pt idx="73">
                  <c:v>3376</c:v>
                </c:pt>
                <c:pt idx="74">
                  <c:v>2322</c:v>
                </c:pt>
                <c:pt idx="75">
                  <c:v>2109</c:v>
                </c:pt>
                <c:pt idx="76">
                  <c:v>2146</c:v>
                </c:pt>
                <c:pt idx="77">
                  <c:v>1772</c:v>
                </c:pt>
                <c:pt idx="78">
                  <c:v>1776</c:v>
                </c:pt>
                <c:pt idx="79">
                  <c:v>1437</c:v>
                </c:pt>
                <c:pt idx="80">
                  <c:v>1331</c:v>
                </c:pt>
                <c:pt idx="81">
                  <c:v>1307</c:v>
                </c:pt>
                <c:pt idx="82">
                  <c:v>1334</c:v>
                </c:pt>
                <c:pt idx="83">
                  <c:v>1384</c:v>
                </c:pt>
                <c:pt idx="84">
                  <c:v>1139</c:v>
                </c:pt>
                <c:pt idx="85">
                  <c:v>1061</c:v>
                </c:pt>
                <c:pt idx="86">
                  <c:v>1010</c:v>
                </c:pt>
                <c:pt idx="87">
                  <c:v>908</c:v>
                </c:pt>
                <c:pt idx="88">
                  <c:v>809</c:v>
                </c:pt>
                <c:pt idx="89">
                  <c:v>706</c:v>
                </c:pt>
                <c:pt idx="90">
                  <c:v>284</c:v>
                </c:pt>
                <c:pt idx="91">
                  <c:v>101</c:v>
                </c:pt>
                <c:pt idx="92">
                  <c:v>9</c:v>
                </c:pt>
                <c:pt idx="93">
                  <c:v>4</c:v>
                </c:pt>
                <c:pt idx="94">
                  <c:v>2</c:v>
                </c:pt>
                <c:pt idx="95">
                  <c:v>3</c:v>
                </c:pt>
                <c:pt idx="96">
                  <c:v>1</c:v>
                </c:pt>
              </c:numCache>
            </c:numRef>
          </c:val>
          <c:extLst>
            <c:ext xmlns:c16="http://schemas.microsoft.com/office/drawing/2014/chart" uri="{C3380CC4-5D6E-409C-BE32-E72D297353CC}">
              <c16:uniqueId val="{0000000A-EF64-4E09-AE24-E806A41EAF45}"/>
            </c:ext>
          </c:extLst>
        </c:ser>
        <c:dLbls>
          <c:showLegendKey val="0"/>
          <c:showVal val="0"/>
          <c:showCatName val="0"/>
          <c:showSerName val="0"/>
          <c:showPercent val="0"/>
          <c:showBubbleSize val="0"/>
        </c:dLbls>
        <c:gapWidth val="0"/>
        <c:overlap val="100"/>
        <c:axId val="203500792"/>
        <c:axId val="1"/>
      </c:barChart>
      <c:catAx>
        <c:axId val="203500792"/>
        <c:scaling>
          <c:orientation val="minMax"/>
        </c:scaling>
        <c:delete val="1"/>
        <c:axPos val="r"/>
        <c:numFmt formatCode="General" sourceLinked="1"/>
        <c:majorTickMark val="out"/>
        <c:minorTickMark val="none"/>
        <c:tickLblPos val="nextTo"/>
        <c:crossAx val="1"/>
        <c:crossesAt val="0"/>
        <c:auto val="1"/>
        <c:lblAlgn val="ctr"/>
        <c:lblOffset val="100"/>
        <c:noMultiLvlLbl val="0"/>
      </c:catAx>
      <c:valAx>
        <c:axId val="1"/>
        <c:scaling>
          <c:orientation val="maxMin"/>
          <c:max val="15001"/>
          <c:min val="0"/>
        </c:scaling>
        <c:delete val="0"/>
        <c:axPos val="b"/>
        <c:majorGridlines>
          <c:spPr>
            <a:ln w="3165">
              <a:solidFill>
                <a:srgbClr val="000000"/>
              </a:solidFill>
              <a:prstDash val="solid"/>
            </a:ln>
          </c:spPr>
        </c:majorGridlines>
        <c:title>
          <c:tx>
            <c:rich>
              <a:bodyPr/>
              <a:lstStyle/>
              <a:p>
                <a:pPr>
                  <a:defRPr sz="598" b="0" i="0" u="none" strike="noStrike" baseline="0">
                    <a:solidFill>
                      <a:srgbClr val="000000"/>
                    </a:solidFill>
                    <a:latin typeface="Arial"/>
                    <a:ea typeface="Arial"/>
                    <a:cs typeface="Arial"/>
                  </a:defRPr>
                </a:pPr>
                <a:r>
                  <a:rPr lang="en-US"/>
                  <a:t>persoane</a:t>
                </a:r>
              </a:p>
            </c:rich>
          </c:tx>
          <c:layout>
            <c:manualLayout>
              <c:xMode val="edge"/>
              <c:yMode val="edge"/>
              <c:x val="0.42402826855123676"/>
              <c:y val="0.91443850267379678"/>
            </c:manualLayout>
          </c:layout>
          <c:overlay val="0"/>
          <c:spPr>
            <a:noFill/>
            <a:ln w="25321">
              <a:noFill/>
            </a:ln>
          </c:spPr>
        </c:title>
        <c:numFmt formatCode="General" sourceLinked="0"/>
        <c:majorTickMark val="out"/>
        <c:minorTickMark val="none"/>
        <c:tickLblPos val="nextTo"/>
        <c:spPr>
          <a:ln w="3165">
            <a:solidFill>
              <a:srgbClr val="000000"/>
            </a:solidFill>
            <a:prstDash val="solid"/>
          </a:ln>
        </c:spPr>
        <c:txPr>
          <a:bodyPr rot="0" vert="horz"/>
          <a:lstStyle/>
          <a:p>
            <a:pPr>
              <a:defRPr sz="698" b="0" i="0" u="none" strike="noStrike" baseline="0">
                <a:solidFill>
                  <a:srgbClr val="000000"/>
                </a:solidFill>
                <a:latin typeface="Arial"/>
                <a:ea typeface="Arial"/>
                <a:cs typeface="Arial"/>
              </a:defRPr>
            </a:pPr>
            <a:endParaRPr lang="en-US"/>
          </a:p>
        </c:txPr>
        <c:crossAx val="203500792"/>
        <c:crosses val="autoZero"/>
        <c:crossBetween val="between"/>
        <c:majorUnit val="10000"/>
        <c:minorUnit val="5000"/>
      </c:valAx>
      <c:spPr>
        <a:noFill/>
        <a:ln w="25321">
          <a:noFill/>
        </a:ln>
      </c:spPr>
    </c:plotArea>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hPercent val="16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CC"/>
          </a:solidFill>
          <a:prstDash val="solid"/>
        </a:ln>
      </c:spPr>
    </c:sideWall>
    <c:backWall>
      <c:thickness val="0"/>
      <c:spPr>
        <a:solidFill>
          <a:srgbClr val="FFFFFF"/>
        </a:solidFill>
        <a:ln w="12700">
          <a:solidFill>
            <a:srgbClr val="FFFFCC"/>
          </a:solidFill>
          <a:prstDash val="solid"/>
        </a:ln>
      </c:spPr>
    </c:backWall>
    <c:plotArea>
      <c:layout>
        <c:manualLayout>
          <c:layoutTarget val="inner"/>
          <c:xMode val="edge"/>
          <c:yMode val="edge"/>
          <c:x val="2.6936026936026935E-2"/>
          <c:y val="2.3017902813299233E-2"/>
          <c:w val="0.95959595959595956"/>
          <c:h val="0.78772378516624042"/>
        </c:manualLayout>
      </c:layout>
      <c:bar3DChart>
        <c:barDir val="bar"/>
        <c:grouping val="stacked"/>
        <c:varyColors val="0"/>
        <c:ser>
          <c:idx val="0"/>
          <c:order val="0"/>
          <c:tx>
            <c:strRef>
              <c:f>Sheet1!$A$2</c:f>
              <c:strCache>
                <c:ptCount val="1"/>
                <c:pt idx="0">
                  <c:v>Bărbați</c:v>
                </c:pt>
              </c:strCache>
            </c:strRef>
          </c:tx>
          <c:spPr>
            <a:solidFill>
              <a:srgbClr val="99CCFF"/>
            </a:solidFill>
            <a:ln w="25367">
              <a:noFill/>
            </a:ln>
          </c:spPr>
          <c:invertIfNegative val="0"/>
          <c:cat>
            <c:strRef>
              <c:f>Sheet1!$B$1:$T$1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Sheet1!$B$2:$T$2</c:f>
              <c:numCache>
                <c:formatCode>General</c:formatCode>
                <c:ptCount val="19"/>
                <c:pt idx="0">
                  <c:v>11.5</c:v>
                </c:pt>
                <c:pt idx="1">
                  <c:v>3.2</c:v>
                </c:pt>
                <c:pt idx="2">
                  <c:v>41.8</c:v>
                </c:pt>
                <c:pt idx="3">
                  <c:v>1.4</c:v>
                </c:pt>
                <c:pt idx="4">
                  <c:v>3.8</c:v>
                </c:pt>
                <c:pt idx="5">
                  <c:v>27.2</c:v>
                </c:pt>
                <c:pt idx="6">
                  <c:v>23</c:v>
                </c:pt>
                <c:pt idx="7">
                  <c:v>16.8</c:v>
                </c:pt>
                <c:pt idx="8">
                  <c:v>3.7</c:v>
                </c:pt>
                <c:pt idx="9">
                  <c:v>2.6</c:v>
                </c:pt>
                <c:pt idx="10">
                  <c:v>0.3</c:v>
                </c:pt>
                <c:pt idx="11">
                  <c:v>1.3</c:v>
                </c:pt>
                <c:pt idx="12">
                  <c:v>3.8</c:v>
                </c:pt>
                <c:pt idx="13">
                  <c:v>6.2</c:v>
                </c:pt>
                <c:pt idx="14">
                  <c:v>2.1</c:v>
                </c:pt>
                <c:pt idx="15">
                  <c:v>2.8</c:v>
                </c:pt>
                <c:pt idx="16">
                  <c:v>2.9</c:v>
                </c:pt>
                <c:pt idx="17">
                  <c:v>1.1000000000000001</c:v>
                </c:pt>
                <c:pt idx="18">
                  <c:v>1.8</c:v>
                </c:pt>
              </c:numCache>
            </c:numRef>
          </c:val>
          <c:extLst>
            <c:ext xmlns:c16="http://schemas.microsoft.com/office/drawing/2014/chart" uri="{C3380CC4-5D6E-409C-BE32-E72D297353CC}">
              <c16:uniqueId val="{00000000-A02E-4E5A-899B-209DB029D374}"/>
            </c:ext>
          </c:extLst>
        </c:ser>
        <c:ser>
          <c:idx val="1"/>
          <c:order val="1"/>
          <c:tx>
            <c:strRef>
              <c:f>Sheet1!$A$3</c:f>
              <c:strCache>
                <c:ptCount val="1"/>
                <c:pt idx="0">
                  <c:v>Femei</c:v>
                </c:pt>
              </c:strCache>
            </c:strRef>
          </c:tx>
          <c:spPr>
            <a:solidFill>
              <a:srgbClr val="FF8080"/>
            </a:solidFill>
            <a:ln w="25367">
              <a:noFill/>
            </a:ln>
          </c:spPr>
          <c:invertIfNegative val="0"/>
          <c:cat>
            <c:strRef>
              <c:f>Sheet1!$B$1:$T$1</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Sheet1!$B$3:$T$3</c:f>
              <c:numCache>
                <c:formatCode>General</c:formatCode>
                <c:ptCount val="19"/>
                <c:pt idx="0">
                  <c:v>10.5</c:v>
                </c:pt>
                <c:pt idx="1">
                  <c:v>0.5</c:v>
                </c:pt>
                <c:pt idx="2">
                  <c:v>29.3</c:v>
                </c:pt>
                <c:pt idx="3">
                  <c:v>0.6</c:v>
                </c:pt>
                <c:pt idx="4">
                  <c:v>1.4</c:v>
                </c:pt>
                <c:pt idx="5">
                  <c:v>2.2999999999999998</c:v>
                </c:pt>
                <c:pt idx="6">
                  <c:v>20.6</c:v>
                </c:pt>
                <c:pt idx="7">
                  <c:v>2.5</c:v>
                </c:pt>
                <c:pt idx="8">
                  <c:v>4.2</c:v>
                </c:pt>
                <c:pt idx="9">
                  <c:v>1.4</c:v>
                </c:pt>
                <c:pt idx="10">
                  <c:v>1.8</c:v>
                </c:pt>
                <c:pt idx="11">
                  <c:v>0.5</c:v>
                </c:pt>
                <c:pt idx="12">
                  <c:v>3.6</c:v>
                </c:pt>
                <c:pt idx="13">
                  <c:v>4.0999999999999996</c:v>
                </c:pt>
                <c:pt idx="14">
                  <c:v>3.7</c:v>
                </c:pt>
                <c:pt idx="15">
                  <c:v>8</c:v>
                </c:pt>
                <c:pt idx="16">
                  <c:v>12</c:v>
                </c:pt>
                <c:pt idx="17">
                  <c:v>1.2</c:v>
                </c:pt>
                <c:pt idx="18">
                  <c:v>1.8</c:v>
                </c:pt>
              </c:numCache>
            </c:numRef>
          </c:val>
          <c:extLst>
            <c:ext xmlns:c16="http://schemas.microsoft.com/office/drawing/2014/chart" uri="{C3380CC4-5D6E-409C-BE32-E72D297353CC}">
              <c16:uniqueId val="{00000001-A02E-4E5A-899B-209DB029D374}"/>
            </c:ext>
          </c:extLst>
        </c:ser>
        <c:dLbls>
          <c:showLegendKey val="0"/>
          <c:showVal val="0"/>
          <c:showCatName val="0"/>
          <c:showSerName val="0"/>
          <c:showPercent val="0"/>
          <c:showBubbleSize val="0"/>
        </c:dLbls>
        <c:gapWidth val="50"/>
        <c:shape val="box"/>
        <c:axId val="214287872"/>
        <c:axId val="214289408"/>
        <c:axId val="0"/>
      </c:bar3DChart>
      <c:catAx>
        <c:axId val="214287872"/>
        <c:scaling>
          <c:orientation val="minMax"/>
        </c:scaling>
        <c:delete val="0"/>
        <c:axPos val="l"/>
        <c:numFmt formatCode="General" sourceLinked="1"/>
        <c:majorTickMark val="out"/>
        <c:minorTickMark val="none"/>
        <c:tickLblPos val="low"/>
        <c:spPr>
          <a:ln w="3171">
            <a:solidFill>
              <a:srgbClr val="000000"/>
            </a:solidFill>
            <a:prstDash val="solid"/>
          </a:ln>
        </c:spPr>
        <c:txPr>
          <a:bodyPr rot="0" vert="horz"/>
          <a:lstStyle/>
          <a:p>
            <a:pPr>
              <a:defRPr sz="549" b="0" i="0" u="none" strike="noStrike" baseline="0">
                <a:solidFill>
                  <a:srgbClr val="000000"/>
                </a:solidFill>
                <a:latin typeface="Calibri"/>
                <a:ea typeface="Calibri"/>
                <a:cs typeface="Calibri"/>
              </a:defRPr>
            </a:pPr>
            <a:endParaRPr lang="en-US"/>
          </a:p>
        </c:txPr>
        <c:crossAx val="214289408"/>
        <c:crosses val="autoZero"/>
        <c:auto val="1"/>
        <c:lblAlgn val="ctr"/>
        <c:lblOffset val="100"/>
        <c:tickLblSkip val="1"/>
        <c:tickMarkSkip val="1"/>
        <c:noMultiLvlLbl val="0"/>
      </c:catAx>
      <c:valAx>
        <c:axId val="214289408"/>
        <c:scaling>
          <c:orientation val="minMax"/>
        </c:scaling>
        <c:delete val="0"/>
        <c:axPos val="b"/>
        <c:majorGridlines>
          <c:spPr>
            <a:ln w="3171">
              <a:solidFill>
                <a:srgbClr val="000000"/>
              </a:solidFill>
              <a:prstDash val="solid"/>
            </a:ln>
          </c:spPr>
        </c:majorGridlines>
        <c:title>
          <c:tx>
            <c:rich>
              <a:bodyPr/>
              <a:lstStyle/>
              <a:p>
                <a:pPr>
                  <a:defRPr sz="799" b="0" i="0" u="none" strike="noStrike" baseline="0">
                    <a:solidFill>
                      <a:srgbClr val="000000"/>
                    </a:solidFill>
                    <a:latin typeface="Calibri"/>
                    <a:ea typeface="Calibri"/>
                    <a:cs typeface="Calibri"/>
                  </a:defRPr>
                </a:pPr>
                <a:r>
                  <a:rPr lang="en-US"/>
                  <a:t>mii persoane</a:t>
                </a:r>
              </a:p>
            </c:rich>
          </c:tx>
          <c:layout>
            <c:manualLayout>
              <c:xMode val="edge"/>
              <c:yMode val="edge"/>
              <c:x val="0.44107744107744107"/>
              <c:y val="0.88235294117647056"/>
            </c:manualLayout>
          </c:layout>
          <c:overlay val="0"/>
          <c:spPr>
            <a:noFill/>
            <a:ln w="25367">
              <a:noFill/>
            </a:ln>
          </c:spPr>
        </c:title>
        <c:numFmt formatCode="General" sourceLinked="0"/>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214287872"/>
        <c:crosses val="autoZero"/>
        <c:crossBetween val="between"/>
      </c:valAx>
      <c:spPr>
        <a:noFill/>
        <a:ln w="25367">
          <a:noFill/>
        </a:ln>
      </c:spPr>
    </c:plotArea>
    <c:legend>
      <c:legendPos val="r"/>
      <c:layout>
        <c:manualLayout>
          <c:xMode val="edge"/>
          <c:yMode val="edge"/>
          <c:x val="0.23232323232323232"/>
          <c:y val="0.93350383631713552"/>
          <c:w val="0.48484848484848486"/>
          <c:h val="6.1381074168797956E-2"/>
        </c:manualLayout>
      </c:layout>
      <c:overlay val="0"/>
      <c:spPr>
        <a:noFill/>
        <a:ln w="25367">
          <a:noFill/>
        </a:ln>
      </c:spPr>
      <c:txPr>
        <a:bodyPr/>
        <a:lstStyle/>
        <a:p>
          <a:pPr>
            <a:defRPr sz="82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6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Evoluţia numărului de salariați (mii persoane)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Sheet6!$A$8</c:f>
              <c:strCache>
                <c:ptCount val="1"/>
                <c:pt idx="0">
                  <c:v>Evoluţia numărului de salariați (mii persoane)</c:v>
                </c:pt>
              </c:strCache>
            </c:strRef>
          </c:tx>
          <c:spPr>
            <a:solidFill>
              <a:schemeClr val="accent1"/>
            </a:solidFill>
            <a:ln>
              <a:noFill/>
            </a:ln>
            <a:effectLst/>
          </c:spPr>
          <c:invertIfNegative val="0"/>
          <c:cat>
            <c:multiLvlStrRef>
              <c:f>Sheet6!$B$6:$S$7</c:f>
              <c:multiLvlStrCache>
                <c:ptCount val="18"/>
                <c:lvl>
                  <c:pt idx="0">
                    <c:v>ian</c:v>
                  </c:pt>
                  <c:pt idx="1">
                    <c:v>feb</c:v>
                  </c:pt>
                  <c:pt idx="2">
                    <c:v>mar</c:v>
                  </c:pt>
                  <c:pt idx="3">
                    <c:v>apr</c:v>
                  </c:pt>
                  <c:pt idx="4">
                    <c:v>mai </c:v>
                  </c:pt>
                  <c:pt idx="5">
                    <c:v>iun</c:v>
                  </c:pt>
                  <c:pt idx="6">
                    <c:v>iul.</c:v>
                  </c:pt>
                  <c:pt idx="7">
                    <c:v>aug.</c:v>
                  </c:pt>
                  <c:pt idx="8">
                    <c:v>sep.</c:v>
                  </c:pt>
                  <c:pt idx="9">
                    <c:v>oct.</c:v>
                  </c:pt>
                  <c:pt idx="10">
                    <c:v>nov.</c:v>
                  </c:pt>
                  <c:pt idx="11">
                    <c:v>dec.</c:v>
                  </c:pt>
                  <c:pt idx="12">
                    <c:v>ian</c:v>
                  </c:pt>
                  <c:pt idx="13">
                    <c:v>feb</c:v>
                  </c:pt>
                  <c:pt idx="14">
                    <c:v>mar</c:v>
                  </c:pt>
                  <c:pt idx="15">
                    <c:v>apr</c:v>
                  </c:pt>
                  <c:pt idx="16">
                    <c:v>mai</c:v>
                  </c:pt>
                  <c:pt idx="17">
                    <c:v>iun. </c:v>
                  </c:pt>
                </c:lvl>
                <c:lvl>
                  <c:pt idx="0">
                    <c:v>2022</c:v>
                  </c:pt>
                  <c:pt idx="12">
                    <c:v>2023</c:v>
                  </c:pt>
                </c:lvl>
              </c:multiLvlStrCache>
            </c:multiLvlStrRef>
          </c:cat>
          <c:val>
            <c:numRef>
              <c:f>Sheet6!$B$8:$S$8</c:f>
              <c:numCache>
                <c:formatCode>0</c:formatCode>
                <c:ptCount val="18"/>
                <c:pt idx="0">
                  <c:v>185.036</c:v>
                </c:pt>
                <c:pt idx="1">
                  <c:v>185.37100000000001</c:v>
                </c:pt>
                <c:pt idx="2">
                  <c:v>185.88399999999999</c:v>
                </c:pt>
                <c:pt idx="3">
                  <c:v>185.923</c:v>
                </c:pt>
                <c:pt idx="4">
                  <c:v>186.30799999999999</c:v>
                </c:pt>
                <c:pt idx="5">
                  <c:v>186.36699999999999</c:v>
                </c:pt>
                <c:pt idx="6">
                  <c:v>186.66800000000001</c:v>
                </c:pt>
                <c:pt idx="7">
                  <c:v>186.63800000000001</c:v>
                </c:pt>
                <c:pt idx="8">
                  <c:v>186.941</c:v>
                </c:pt>
                <c:pt idx="9">
                  <c:v>187.197</c:v>
                </c:pt>
                <c:pt idx="10">
                  <c:v>187.36199999999999</c:v>
                </c:pt>
                <c:pt idx="11">
                  <c:v>186.74100000000001</c:v>
                </c:pt>
                <c:pt idx="12">
                  <c:v>187.66800000000001</c:v>
                </c:pt>
                <c:pt idx="13">
                  <c:v>188.167</c:v>
                </c:pt>
                <c:pt idx="14">
                  <c:v>188.989</c:v>
                </c:pt>
                <c:pt idx="15">
                  <c:v>189.101</c:v>
                </c:pt>
                <c:pt idx="16">
                  <c:v>189.54599999999999</c:v>
                </c:pt>
                <c:pt idx="17">
                  <c:v>189.63900000000001</c:v>
                </c:pt>
              </c:numCache>
            </c:numRef>
          </c:val>
          <c:extLst>
            <c:ext xmlns:c16="http://schemas.microsoft.com/office/drawing/2014/chart" uri="{C3380CC4-5D6E-409C-BE32-E72D297353CC}">
              <c16:uniqueId val="{00000000-5733-46CA-9420-BF109C644D50}"/>
            </c:ext>
          </c:extLst>
        </c:ser>
        <c:dLbls>
          <c:showLegendKey val="0"/>
          <c:showVal val="0"/>
          <c:showCatName val="0"/>
          <c:showSerName val="0"/>
          <c:showPercent val="0"/>
          <c:showBubbleSize val="0"/>
        </c:dLbls>
        <c:gapWidth val="219"/>
        <c:overlap val="-27"/>
        <c:axId val="414614272"/>
        <c:axId val="414614928"/>
      </c:barChart>
      <c:catAx>
        <c:axId val="41461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4928"/>
        <c:crosses val="autoZero"/>
        <c:auto val="1"/>
        <c:lblAlgn val="ctr"/>
        <c:lblOffset val="100"/>
        <c:noMultiLvlLbl val="0"/>
      </c:catAx>
      <c:valAx>
        <c:axId val="41461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Efectivul salariaților, pe județe, la sfârșitul lunii iunie 2023</a:t>
            </a:r>
            <a:endParaRPr lang="ro-RO" sz="1200"/>
          </a:p>
          <a:p>
            <a:pPr>
              <a:defRPr/>
            </a:pPr>
            <a:r>
              <a:rPr lang="en-US" sz="1200"/>
              <a:t> (nr. persoane)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Efectivul salariaților, pe județe, la sfârșitul lunii iunie 2023 (nr. persoane)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34"/>
            <c:invertIfNegative val="0"/>
            <c:bubble3D val="0"/>
            <c:spPr>
              <a:solidFill>
                <a:schemeClr val="accent5"/>
              </a:solidFill>
              <a:ln>
                <a:solidFill>
                  <a:schemeClr val="accent5"/>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20D-450B-90B6-659E501F6098}"/>
              </c:ext>
            </c:extLst>
          </c:dPt>
          <c:cat>
            <c:strRef>
              <c:f>Sheet1!$A$2:$A$42</c:f>
              <c:strCache>
                <c:ptCount val="41"/>
                <c:pt idx="0">
                  <c:v>GIURGIU</c:v>
                </c:pt>
                <c:pt idx="1">
                  <c:v>MEHEDINTI</c:v>
                </c:pt>
                <c:pt idx="2">
                  <c:v>CALARASI</c:v>
                </c:pt>
                <c:pt idx="3">
                  <c:v>IALOMITA</c:v>
                </c:pt>
                <c:pt idx="4">
                  <c:v>TULCEA</c:v>
                </c:pt>
                <c:pt idx="5">
                  <c:v>COVASNA</c:v>
                </c:pt>
                <c:pt idx="6">
                  <c:v>SALAJ</c:v>
                </c:pt>
                <c:pt idx="7">
                  <c:v>CARAS-SEVERIN</c:v>
                </c:pt>
                <c:pt idx="8">
                  <c:v>TELEORMAN</c:v>
                </c:pt>
                <c:pt idx="9">
                  <c:v>VASLUI</c:v>
                </c:pt>
                <c:pt idx="10">
                  <c:v>BOTOSANI</c:v>
                </c:pt>
                <c:pt idx="11">
                  <c:v>VRANCEA</c:v>
                </c:pt>
                <c:pt idx="12">
                  <c:v>BISTRITA-NASAUD</c:v>
                </c:pt>
                <c:pt idx="13">
                  <c:v>BRAILA</c:v>
                </c:pt>
                <c:pt idx="14">
                  <c:v>HARGHITA</c:v>
                </c:pt>
                <c:pt idx="15">
                  <c:v>OLT</c:v>
                </c:pt>
                <c:pt idx="16">
                  <c:v>GORJ</c:v>
                </c:pt>
                <c:pt idx="17">
                  <c:v>VALCEA</c:v>
                </c:pt>
                <c:pt idx="18">
                  <c:v>SATU MARE</c:v>
                </c:pt>
                <c:pt idx="19">
                  <c:v>BUZAU</c:v>
                </c:pt>
                <c:pt idx="20">
                  <c:v>NEAMT</c:v>
                </c:pt>
                <c:pt idx="21">
                  <c:v>DAMBOVITA</c:v>
                </c:pt>
                <c:pt idx="22">
                  <c:v>ALBA</c:v>
                </c:pt>
                <c:pt idx="23">
                  <c:v>HUNEDOARA</c:v>
                </c:pt>
                <c:pt idx="24">
                  <c:v>MARAMURES</c:v>
                </c:pt>
                <c:pt idx="25">
                  <c:v>SUCEAVA</c:v>
                </c:pt>
                <c:pt idx="26">
                  <c:v>GALATI</c:v>
                </c:pt>
                <c:pt idx="27">
                  <c:v>BACAU</c:v>
                </c:pt>
                <c:pt idx="28">
                  <c:v>ARAD</c:v>
                </c:pt>
                <c:pt idx="29">
                  <c:v>SIBIU</c:v>
                </c:pt>
                <c:pt idx="30">
                  <c:v>MURES</c:v>
                </c:pt>
                <c:pt idx="31">
                  <c:v>DOLJ</c:v>
                </c:pt>
                <c:pt idx="32">
                  <c:v>ARGES</c:v>
                </c:pt>
                <c:pt idx="33">
                  <c:v>BIHOR</c:v>
                </c:pt>
                <c:pt idx="34">
                  <c:v>PRAHOVA</c:v>
                </c:pt>
                <c:pt idx="35">
                  <c:v>ILFOV</c:v>
                </c:pt>
                <c:pt idx="36">
                  <c:v>IASI</c:v>
                </c:pt>
                <c:pt idx="37">
                  <c:v>CONSTANTA</c:v>
                </c:pt>
                <c:pt idx="38">
                  <c:v>BRASOV</c:v>
                </c:pt>
                <c:pt idx="39">
                  <c:v>TIMIS</c:v>
                </c:pt>
                <c:pt idx="40">
                  <c:v>CLUJ</c:v>
                </c:pt>
              </c:strCache>
            </c:strRef>
          </c:cat>
          <c:val>
            <c:numRef>
              <c:f>Sheet1!$B$2:$B$42</c:f>
              <c:numCache>
                <c:formatCode>0</c:formatCode>
                <c:ptCount val="41"/>
                <c:pt idx="0">
                  <c:v>39.924999999999997</c:v>
                </c:pt>
                <c:pt idx="1">
                  <c:v>46.905000000000001</c:v>
                </c:pt>
                <c:pt idx="2">
                  <c:v>48.076999999999998</c:v>
                </c:pt>
                <c:pt idx="3">
                  <c:v>48.890999999999998</c:v>
                </c:pt>
                <c:pt idx="4">
                  <c:v>50.094999999999999</c:v>
                </c:pt>
                <c:pt idx="5">
                  <c:v>53.024000000000001</c:v>
                </c:pt>
                <c:pt idx="6">
                  <c:v>53.701000000000001</c:v>
                </c:pt>
                <c:pt idx="7">
                  <c:v>55.328000000000003</c:v>
                </c:pt>
                <c:pt idx="8">
                  <c:v>56.927</c:v>
                </c:pt>
                <c:pt idx="9">
                  <c:v>58.003</c:v>
                </c:pt>
                <c:pt idx="10">
                  <c:v>60.283999999999999</c:v>
                </c:pt>
                <c:pt idx="11">
                  <c:v>64.929000000000002</c:v>
                </c:pt>
                <c:pt idx="12">
                  <c:v>72.872</c:v>
                </c:pt>
                <c:pt idx="13">
                  <c:v>73.433999999999997</c:v>
                </c:pt>
                <c:pt idx="14">
                  <c:v>74.224999999999994</c:v>
                </c:pt>
                <c:pt idx="15">
                  <c:v>77.94</c:v>
                </c:pt>
                <c:pt idx="16">
                  <c:v>79.088999999999999</c:v>
                </c:pt>
                <c:pt idx="17">
                  <c:v>86.186999999999998</c:v>
                </c:pt>
                <c:pt idx="18">
                  <c:v>86.917000000000002</c:v>
                </c:pt>
                <c:pt idx="19">
                  <c:v>90.980999999999995</c:v>
                </c:pt>
                <c:pt idx="20">
                  <c:v>92.1</c:v>
                </c:pt>
                <c:pt idx="21">
                  <c:v>92.447999999999993</c:v>
                </c:pt>
                <c:pt idx="22">
                  <c:v>99.6</c:v>
                </c:pt>
                <c:pt idx="23">
                  <c:v>111</c:v>
                </c:pt>
                <c:pt idx="24">
                  <c:v>119.94199999999999</c:v>
                </c:pt>
                <c:pt idx="25">
                  <c:v>120.282</c:v>
                </c:pt>
                <c:pt idx="26">
                  <c:v>122.29600000000001</c:v>
                </c:pt>
                <c:pt idx="27">
                  <c:v>122.581</c:v>
                </c:pt>
                <c:pt idx="28">
                  <c:v>134.952</c:v>
                </c:pt>
                <c:pt idx="29">
                  <c:v>142.77600000000001</c:v>
                </c:pt>
                <c:pt idx="30">
                  <c:v>146.416</c:v>
                </c:pt>
                <c:pt idx="31">
                  <c:v>148.52699999999999</c:v>
                </c:pt>
                <c:pt idx="32">
                  <c:v>161.309</c:v>
                </c:pt>
                <c:pt idx="33">
                  <c:v>184.78200000000001</c:v>
                </c:pt>
                <c:pt idx="34">
                  <c:v>189.63900000000001</c:v>
                </c:pt>
                <c:pt idx="35">
                  <c:v>189.828</c:v>
                </c:pt>
                <c:pt idx="36">
                  <c:v>193.09100000000001</c:v>
                </c:pt>
                <c:pt idx="37">
                  <c:v>198.85300000000001</c:v>
                </c:pt>
                <c:pt idx="38">
                  <c:v>199.857</c:v>
                </c:pt>
                <c:pt idx="39">
                  <c:v>266.14999999999998</c:v>
                </c:pt>
                <c:pt idx="40">
                  <c:v>279.59800000000001</c:v>
                </c:pt>
              </c:numCache>
            </c:numRef>
          </c:val>
          <c:extLst>
            <c:ext xmlns:c16="http://schemas.microsoft.com/office/drawing/2014/chart" uri="{C3380CC4-5D6E-409C-BE32-E72D297353CC}">
              <c16:uniqueId val="{00000000-520D-450B-90B6-659E501F6098}"/>
            </c:ext>
          </c:extLst>
        </c:ser>
        <c:dLbls>
          <c:showLegendKey val="0"/>
          <c:showVal val="0"/>
          <c:showCatName val="0"/>
          <c:showSerName val="0"/>
          <c:showPercent val="0"/>
          <c:showBubbleSize val="0"/>
        </c:dLbls>
        <c:gapWidth val="115"/>
        <c:overlap val="-20"/>
        <c:axId val="518022936"/>
        <c:axId val="518028840"/>
      </c:barChart>
      <c:catAx>
        <c:axId val="518022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28840"/>
        <c:crosses val="autoZero"/>
        <c:auto val="1"/>
        <c:lblAlgn val="ctr"/>
        <c:lblOffset val="100"/>
        <c:noMultiLvlLbl val="0"/>
      </c:catAx>
      <c:valAx>
        <c:axId val="518028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2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i="0" baseline="0">
                <a:effectLst/>
                <a:latin typeface="+mj-lt"/>
              </a:rPr>
              <a:t>Evoluţia indicilor preţurilor de consum şi a indicilor câştigurilor salariale medii nete (luna  precedenta = 100)</a:t>
            </a:r>
            <a:endParaRPr lang="en-US" sz="1000">
              <a:effectLst/>
              <a:latin typeface="+mj-lt"/>
            </a:endParaRPr>
          </a:p>
        </c:rich>
      </c:tx>
      <c:layout>
        <c:manualLayout>
          <c:xMode val="edge"/>
          <c:yMode val="edge"/>
          <c:x val="0.10261574074074074"/>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6039661708953049E-2"/>
          <c:y val="0.15253968253968253"/>
          <c:w val="0.90849737532808394"/>
          <c:h val="0.60119672540932378"/>
        </c:manualLayout>
      </c:layout>
      <c:lineChart>
        <c:grouping val="standard"/>
        <c:varyColors val="0"/>
        <c:ser>
          <c:idx val="0"/>
          <c:order val="0"/>
          <c:tx>
            <c:strRef>
              <c:f>Sheet1!$B$1</c:f>
              <c:strCache>
                <c:ptCount val="1"/>
                <c:pt idx="0">
                  <c:v>Indicii câştigurilor salariale medii nete</c:v>
                </c:pt>
              </c:strCache>
            </c:strRef>
          </c:tx>
          <c:spPr>
            <a:ln w="28575" cap="rnd">
              <a:solidFill>
                <a:schemeClr val="accent1"/>
              </a:solidFill>
              <a:round/>
            </a:ln>
            <a:effectLst/>
          </c:spPr>
          <c:marker>
            <c:symbol val="none"/>
          </c:marker>
          <c:cat>
            <c:strRef>
              <c:f>Sheet1!$A$2:$A$19</c:f>
              <c:strCache>
                <c:ptCount val="18"/>
                <c:pt idx="0">
                  <c:v>ian. 2022</c:v>
                </c:pt>
                <c:pt idx="1">
                  <c:v>feb.  2022</c:v>
                </c:pt>
                <c:pt idx="2">
                  <c:v>mar. 2022</c:v>
                </c:pt>
                <c:pt idx="3">
                  <c:v>apr. 2022</c:v>
                </c:pt>
                <c:pt idx="4">
                  <c:v>mai 2022</c:v>
                </c:pt>
                <c:pt idx="5">
                  <c:v>iun.  2022</c:v>
                </c:pt>
                <c:pt idx="6">
                  <c:v>Iul.  2022</c:v>
                </c:pt>
                <c:pt idx="7">
                  <c:v>aug. 2022</c:v>
                </c:pt>
                <c:pt idx="8">
                  <c:v>sep.  2022</c:v>
                </c:pt>
                <c:pt idx="9">
                  <c:v>oct. 2022</c:v>
                </c:pt>
                <c:pt idx="10">
                  <c:v>nov. 2022</c:v>
                </c:pt>
                <c:pt idx="11">
                  <c:v>dec. 2022</c:v>
                </c:pt>
                <c:pt idx="12">
                  <c:v>ian.  2022</c:v>
                </c:pt>
                <c:pt idx="13">
                  <c:v>feb. 2023</c:v>
                </c:pt>
                <c:pt idx="14">
                  <c:v>mar. 2023</c:v>
                </c:pt>
                <c:pt idx="15">
                  <c:v>apr. 2023</c:v>
                </c:pt>
                <c:pt idx="16">
                  <c:v>mai 2023</c:v>
                </c:pt>
                <c:pt idx="17">
                  <c:v>iun. 2023</c:v>
                </c:pt>
              </c:strCache>
            </c:strRef>
          </c:cat>
          <c:val>
            <c:numRef>
              <c:f>Sheet1!$B$2:$B$19</c:f>
              <c:numCache>
                <c:formatCode>General</c:formatCode>
                <c:ptCount val="18"/>
                <c:pt idx="0">
                  <c:v>92.18</c:v>
                </c:pt>
                <c:pt idx="1">
                  <c:v>102.77</c:v>
                </c:pt>
                <c:pt idx="2">
                  <c:v>103.58</c:v>
                </c:pt>
                <c:pt idx="3">
                  <c:v>99.94</c:v>
                </c:pt>
                <c:pt idx="4">
                  <c:v>99.49</c:v>
                </c:pt>
                <c:pt idx="5">
                  <c:v>100.06</c:v>
                </c:pt>
                <c:pt idx="6">
                  <c:v>98.88</c:v>
                </c:pt>
                <c:pt idx="7">
                  <c:v>100.17</c:v>
                </c:pt>
                <c:pt idx="8">
                  <c:v>105.91</c:v>
                </c:pt>
                <c:pt idx="9">
                  <c:v>97.32</c:v>
                </c:pt>
                <c:pt idx="10">
                  <c:v>102.47</c:v>
                </c:pt>
                <c:pt idx="11">
                  <c:v>110.83</c:v>
                </c:pt>
                <c:pt idx="12">
                  <c:v>95.03</c:v>
                </c:pt>
                <c:pt idx="13">
                  <c:v>100</c:v>
                </c:pt>
                <c:pt idx="14">
                  <c:v>109.56</c:v>
                </c:pt>
                <c:pt idx="15">
                  <c:v>99.69</c:v>
                </c:pt>
                <c:pt idx="16">
                  <c:v>99.4</c:v>
                </c:pt>
                <c:pt idx="17">
                  <c:v>101.13</c:v>
                </c:pt>
              </c:numCache>
            </c:numRef>
          </c:val>
          <c:smooth val="0"/>
          <c:extLst>
            <c:ext xmlns:c16="http://schemas.microsoft.com/office/drawing/2014/chart" uri="{C3380CC4-5D6E-409C-BE32-E72D297353CC}">
              <c16:uniqueId val="{00000000-7CF5-48B5-9F32-796245F84A2D}"/>
            </c:ext>
          </c:extLst>
        </c:ser>
        <c:ser>
          <c:idx val="1"/>
          <c:order val="1"/>
          <c:tx>
            <c:strRef>
              <c:f>Sheet1!$C$1</c:f>
              <c:strCache>
                <c:ptCount val="1"/>
                <c:pt idx="0">
                  <c:v>Indicele preţurilor de consum</c:v>
                </c:pt>
              </c:strCache>
            </c:strRef>
          </c:tx>
          <c:spPr>
            <a:ln w="28575" cap="rnd">
              <a:solidFill>
                <a:schemeClr val="accent2"/>
              </a:solidFill>
              <a:round/>
            </a:ln>
            <a:effectLst/>
          </c:spPr>
          <c:marker>
            <c:symbol val="none"/>
          </c:marker>
          <c:cat>
            <c:strRef>
              <c:f>Sheet1!$A$2:$A$19</c:f>
              <c:strCache>
                <c:ptCount val="18"/>
                <c:pt idx="0">
                  <c:v>ian. 2022</c:v>
                </c:pt>
                <c:pt idx="1">
                  <c:v>feb.  2022</c:v>
                </c:pt>
                <c:pt idx="2">
                  <c:v>mar. 2022</c:v>
                </c:pt>
                <c:pt idx="3">
                  <c:v>apr. 2022</c:v>
                </c:pt>
                <c:pt idx="4">
                  <c:v>mai 2022</c:v>
                </c:pt>
                <c:pt idx="5">
                  <c:v>iun.  2022</c:v>
                </c:pt>
                <c:pt idx="6">
                  <c:v>Iul.  2022</c:v>
                </c:pt>
                <c:pt idx="7">
                  <c:v>aug. 2022</c:v>
                </c:pt>
                <c:pt idx="8">
                  <c:v>sep.  2022</c:v>
                </c:pt>
                <c:pt idx="9">
                  <c:v>oct. 2022</c:v>
                </c:pt>
                <c:pt idx="10">
                  <c:v>nov. 2022</c:v>
                </c:pt>
                <c:pt idx="11">
                  <c:v>dec. 2022</c:v>
                </c:pt>
                <c:pt idx="12">
                  <c:v>ian.  2022</c:v>
                </c:pt>
                <c:pt idx="13">
                  <c:v>feb. 2023</c:v>
                </c:pt>
                <c:pt idx="14">
                  <c:v>mar. 2023</c:v>
                </c:pt>
                <c:pt idx="15">
                  <c:v>apr. 2023</c:v>
                </c:pt>
                <c:pt idx="16">
                  <c:v>mai 2023</c:v>
                </c:pt>
                <c:pt idx="17">
                  <c:v>iun. 2023</c:v>
                </c:pt>
              </c:strCache>
            </c:strRef>
          </c:cat>
          <c:val>
            <c:numRef>
              <c:f>Sheet1!$C$2:$C$19</c:f>
              <c:numCache>
                <c:formatCode>General</c:formatCode>
                <c:ptCount val="18"/>
                <c:pt idx="0">
                  <c:v>101.48</c:v>
                </c:pt>
                <c:pt idx="1">
                  <c:v>100.58</c:v>
                </c:pt>
                <c:pt idx="2">
                  <c:v>101.88</c:v>
                </c:pt>
                <c:pt idx="3">
                  <c:v>103.74</c:v>
                </c:pt>
                <c:pt idx="4">
                  <c:v>101.18</c:v>
                </c:pt>
                <c:pt idx="5">
                  <c:v>100.76</c:v>
                </c:pt>
                <c:pt idx="6">
                  <c:v>100.89</c:v>
                </c:pt>
                <c:pt idx="7">
                  <c:v>100.56</c:v>
                </c:pt>
                <c:pt idx="8">
                  <c:v>101.33</c:v>
                </c:pt>
                <c:pt idx="9">
                  <c:v>101.28</c:v>
                </c:pt>
                <c:pt idx="10">
                  <c:v>101.25</c:v>
                </c:pt>
                <c:pt idx="11">
                  <c:v>100.37</c:v>
                </c:pt>
                <c:pt idx="12">
                  <c:v>100.34</c:v>
                </c:pt>
                <c:pt idx="13">
                  <c:v>100.98</c:v>
                </c:pt>
                <c:pt idx="14">
                  <c:v>101.01</c:v>
                </c:pt>
                <c:pt idx="15">
                  <c:v>100.75</c:v>
                </c:pt>
                <c:pt idx="16">
                  <c:v>100.64</c:v>
                </c:pt>
                <c:pt idx="17">
                  <c:v>100.4</c:v>
                </c:pt>
              </c:numCache>
            </c:numRef>
          </c:val>
          <c:smooth val="0"/>
          <c:extLst>
            <c:ext xmlns:c16="http://schemas.microsoft.com/office/drawing/2014/chart" uri="{C3380CC4-5D6E-409C-BE32-E72D297353CC}">
              <c16:uniqueId val="{00000001-7CF5-48B5-9F32-796245F84A2D}"/>
            </c:ext>
          </c:extLst>
        </c:ser>
        <c:dLbls>
          <c:showLegendKey val="0"/>
          <c:showVal val="0"/>
          <c:showCatName val="0"/>
          <c:showSerName val="0"/>
          <c:showPercent val="0"/>
          <c:showBubbleSize val="0"/>
        </c:dLbls>
        <c:smooth val="0"/>
        <c:axId val="539810584"/>
        <c:axId val="539811240"/>
      </c:lineChart>
      <c:catAx>
        <c:axId val="53981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11240"/>
        <c:crosses val="autoZero"/>
        <c:auto val="1"/>
        <c:lblAlgn val="ctr"/>
        <c:lblOffset val="100"/>
        <c:noMultiLvlLbl val="0"/>
      </c:catAx>
      <c:valAx>
        <c:axId val="539811240"/>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1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 Pensia medie lunar</a:t>
            </a:r>
            <a:r>
              <a:rPr lang="ro-RO" sz="1100"/>
              <a:t>ă</a:t>
            </a:r>
            <a:r>
              <a:rPr lang="en-US" sz="1100"/>
              <a:t> de asigur</a:t>
            </a:r>
            <a:r>
              <a:rPr lang="ro-RO" sz="1100"/>
              <a:t>ă</a:t>
            </a:r>
            <a:r>
              <a:rPr lang="en-US" sz="1100"/>
              <a:t>ri sociale de stat din trimestrul II 2023  </a:t>
            </a:r>
            <a:endParaRPr lang="ro-RO" sz="1100"/>
          </a:p>
          <a:p>
            <a:pPr>
              <a:defRPr/>
            </a:pPr>
            <a:r>
              <a:rPr lang="en-US" sz="1100"/>
              <a:t>(+/- faţă de media la nivel național)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 Pensia medie lunara de asigurari sociale de stat din trimestrul II 2023  (+/- faţă de media la nivel național) </c:v>
                </c:pt>
              </c:strCache>
            </c:strRef>
          </c:tx>
          <c:spPr>
            <a:solidFill>
              <a:schemeClr val="accent1"/>
            </a:solidFill>
            <a:ln>
              <a:noFill/>
            </a:ln>
            <a:effectLst/>
          </c:spPr>
          <c:invertIfNegative val="0"/>
          <c:dPt>
            <c:idx val="6"/>
            <c:invertIfNegative val="0"/>
            <c:bubble3D val="0"/>
            <c:spPr>
              <a:solidFill>
                <a:srgbClr val="FF0000"/>
              </a:solidFill>
              <a:ln>
                <a:solidFill>
                  <a:srgbClr val="FF0000"/>
                </a:solidFill>
              </a:ln>
              <a:effectLst/>
            </c:spPr>
            <c:extLst>
              <c:ext xmlns:c16="http://schemas.microsoft.com/office/drawing/2014/chart" uri="{C3380CC4-5D6E-409C-BE32-E72D297353CC}">
                <c16:uniqueId val="{00000003-8D18-46CF-8D36-97B9E2DAFD69}"/>
              </c:ext>
            </c:extLst>
          </c:dPt>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Sheet1!$A$2:$A$43</c:f>
              <c:strCache>
                <c:ptCount val="42"/>
                <c:pt idx="0">
                  <c:v>HD</c:v>
                </c:pt>
                <c:pt idx="1">
                  <c:v>B</c:v>
                </c:pt>
                <c:pt idx="2">
                  <c:v>BV</c:v>
                </c:pt>
                <c:pt idx="3">
                  <c:v>GJ</c:v>
                </c:pt>
                <c:pt idx="4">
                  <c:v>GL</c:v>
                </c:pt>
                <c:pt idx="5">
                  <c:v>CT</c:v>
                </c:pt>
                <c:pt idx="6">
                  <c:v>AG</c:v>
                </c:pt>
                <c:pt idx="7">
                  <c:v>PH</c:v>
                </c:pt>
                <c:pt idx="8">
                  <c:v>CJ</c:v>
                </c:pt>
                <c:pt idx="9">
                  <c:v>SB</c:v>
                </c:pt>
                <c:pt idx="10">
                  <c:v>AB</c:v>
                </c:pt>
                <c:pt idx="11">
                  <c:v>MH</c:v>
                </c:pt>
                <c:pt idx="12">
                  <c:v>TM</c:v>
                </c:pt>
                <c:pt idx="13">
                  <c:v>CS</c:v>
                </c:pt>
                <c:pt idx="14">
                  <c:v>IF</c:v>
                </c:pt>
                <c:pt idx="15">
                  <c:v>BC</c:v>
                </c:pt>
                <c:pt idx="16">
                  <c:v>VL</c:v>
                </c:pt>
                <c:pt idx="17">
                  <c:v>DB</c:v>
                </c:pt>
                <c:pt idx="18">
                  <c:v>DJ</c:v>
                </c:pt>
                <c:pt idx="19">
                  <c:v>BH</c:v>
                </c:pt>
                <c:pt idx="20">
                  <c:v>IS</c:v>
                </c:pt>
                <c:pt idx="21">
                  <c:v>SJ</c:v>
                </c:pt>
                <c:pt idx="22">
                  <c:v>MM</c:v>
                </c:pt>
                <c:pt idx="23">
                  <c:v>MS</c:v>
                </c:pt>
                <c:pt idx="24">
                  <c:v>HR</c:v>
                </c:pt>
                <c:pt idx="25">
                  <c:v>CV</c:v>
                </c:pt>
                <c:pt idx="26">
                  <c:v>BR</c:v>
                </c:pt>
                <c:pt idx="27">
                  <c:v>NT</c:v>
                </c:pt>
                <c:pt idx="28">
                  <c:v>AR</c:v>
                </c:pt>
                <c:pt idx="29">
                  <c:v>TL</c:v>
                </c:pt>
                <c:pt idx="30">
                  <c:v>IL</c:v>
                </c:pt>
                <c:pt idx="31">
                  <c:v>TR</c:v>
                </c:pt>
                <c:pt idx="32">
                  <c:v>SV</c:v>
                </c:pt>
                <c:pt idx="33">
                  <c:v>BZ</c:v>
                </c:pt>
                <c:pt idx="34">
                  <c:v>OT</c:v>
                </c:pt>
                <c:pt idx="35">
                  <c:v>BN</c:v>
                </c:pt>
                <c:pt idx="36">
                  <c:v>CL</c:v>
                </c:pt>
                <c:pt idx="37">
                  <c:v>SM</c:v>
                </c:pt>
                <c:pt idx="38">
                  <c:v>VS</c:v>
                </c:pt>
                <c:pt idx="39">
                  <c:v>GR</c:v>
                </c:pt>
                <c:pt idx="40">
                  <c:v>VN</c:v>
                </c:pt>
                <c:pt idx="41">
                  <c:v>BT</c:v>
                </c:pt>
              </c:strCache>
            </c:strRef>
          </c:cat>
          <c:val>
            <c:numRef>
              <c:f>Sheet1!$B$2:$B$43</c:f>
              <c:numCache>
                <c:formatCode>General</c:formatCode>
                <c:ptCount val="42"/>
                <c:pt idx="0">
                  <c:v>663</c:v>
                </c:pt>
                <c:pt idx="1">
                  <c:v>539</c:v>
                </c:pt>
                <c:pt idx="2">
                  <c:v>344</c:v>
                </c:pt>
                <c:pt idx="3">
                  <c:v>344</c:v>
                </c:pt>
                <c:pt idx="4">
                  <c:v>171</c:v>
                </c:pt>
                <c:pt idx="5">
                  <c:v>129</c:v>
                </c:pt>
                <c:pt idx="6">
                  <c:v>117</c:v>
                </c:pt>
                <c:pt idx="7">
                  <c:v>113</c:v>
                </c:pt>
                <c:pt idx="8">
                  <c:v>39</c:v>
                </c:pt>
                <c:pt idx="9">
                  <c:v>8</c:v>
                </c:pt>
                <c:pt idx="10">
                  <c:v>2</c:v>
                </c:pt>
                <c:pt idx="11">
                  <c:v>-1</c:v>
                </c:pt>
                <c:pt idx="12">
                  <c:v>-36</c:v>
                </c:pt>
                <c:pt idx="13">
                  <c:v>-41</c:v>
                </c:pt>
                <c:pt idx="14">
                  <c:v>-45</c:v>
                </c:pt>
                <c:pt idx="15">
                  <c:v>-51</c:v>
                </c:pt>
                <c:pt idx="16">
                  <c:v>-57</c:v>
                </c:pt>
                <c:pt idx="17">
                  <c:v>-73</c:v>
                </c:pt>
                <c:pt idx="18">
                  <c:v>-83</c:v>
                </c:pt>
                <c:pt idx="19">
                  <c:v>-96</c:v>
                </c:pt>
                <c:pt idx="20">
                  <c:v>-97</c:v>
                </c:pt>
                <c:pt idx="21">
                  <c:v>-107</c:v>
                </c:pt>
                <c:pt idx="22">
                  <c:v>-125</c:v>
                </c:pt>
                <c:pt idx="23">
                  <c:v>-131</c:v>
                </c:pt>
                <c:pt idx="24">
                  <c:v>-163</c:v>
                </c:pt>
                <c:pt idx="25">
                  <c:v>-175</c:v>
                </c:pt>
                <c:pt idx="26">
                  <c:v>-179</c:v>
                </c:pt>
                <c:pt idx="27">
                  <c:v>-185</c:v>
                </c:pt>
                <c:pt idx="28">
                  <c:v>-196</c:v>
                </c:pt>
                <c:pt idx="29">
                  <c:v>-218</c:v>
                </c:pt>
                <c:pt idx="30">
                  <c:v>-262</c:v>
                </c:pt>
                <c:pt idx="31">
                  <c:v>-275</c:v>
                </c:pt>
                <c:pt idx="32">
                  <c:v>-277</c:v>
                </c:pt>
                <c:pt idx="33">
                  <c:v>-282</c:v>
                </c:pt>
                <c:pt idx="34">
                  <c:v>-299</c:v>
                </c:pt>
                <c:pt idx="35">
                  <c:v>-334</c:v>
                </c:pt>
                <c:pt idx="36">
                  <c:v>-340</c:v>
                </c:pt>
                <c:pt idx="37">
                  <c:v>-347</c:v>
                </c:pt>
                <c:pt idx="38">
                  <c:v>-374</c:v>
                </c:pt>
                <c:pt idx="39">
                  <c:v>-403</c:v>
                </c:pt>
                <c:pt idx="40">
                  <c:v>-405</c:v>
                </c:pt>
                <c:pt idx="41">
                  <c:v>-416</c:v>
                </c:pt>
              </c:numCache>
            </c:numRef>
          </c:val>
          <c:extLst>
            <c:ext xmlns:c16="http://schemas.microsoft.com/office/drawing/2014/chart" uri="{C3380CC4-5D6E-409C-BE32-E72D297353CC}">
              <c16:uniqueId val="{00000000-8D18-46CF-8D36-97B9E2DAFD69}"/>
            </c:ext>
          </c:extLst>
        </c:ser>
        <c:dLbls>
          <c:showLegendKey val="0"/>
          <c:showVal val="0"/>
          <c:showCatName val="0"/>
          <c:showSerName val="0"/>
          <c:showPercent val="0"/>
          <c:showBubbleSize val="0"/>
        </c:dLbls>
        <c:gapWidth val="219"/>
        <c:overlap val="-27"/>
        <c:axId val="619758800"/>
        <c:axId val="619753224"/>
      </c:barChart>
      <c:catAx>
        <c:axId val="6197588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19753224"/>
        <c:crosses val="autoZero"/>
        <c:auto val="1"/>
        <c:lblAlgn val="ctr"/>
        <c:lblOffset val="500"/>
        <c:noMultiLvlLbl val="0"/>
      </c:catAx>
      <c:valAx>
        <c:axId val="619753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lei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75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800" b="1">
                <a:effectLst/>
                <a:latin typeface="Arial" panose="020B0604020202020204" pitchFamily="34" charset="0"/>
                <a:cs typeface="Arial" panose="020B0604020202020204" pitchFamily="34" charset="0"/>
              </a:rPr>
              <a:t>EVOLUŢIA  INDICELUI PRODUCŢIEI INDUSTRIALE</a:t>
            </a:r>
            <a:endParaRPr lang="en-US" sz="800">
              <a:effectLst/>
              <a:latin typeface="Arial" panose="020B0604020202020204" pitchFamily="34" charset="0"/>
              <a:cs typeface="Arial" panose="020B0604020202020204" pitchFamily="34" charset="0"/>
            </a:endParaRPr>
          </a:p>
          <a:p>
            <a:pPr>
              <a:defRPr sz="800">
                <a:latin typeface="Arial" panose="020B0604020202020204" pitchFamily="34" charset="0"/>
                <a:cs typeface="Arial" panose="020B0604020202020204" pitchFamily="34" charset="0"/>
              </a:defRPr>
            </a:pPr>
            <a:r>
              <a:rPr lang="it-IT" sz="800" b="1">
                <a:effectLst/>
                <a:latin typeface="Arial" panose="020B0604020202020204" pitchFamily="34" charset="0"/>
                <a:cs typeface="Arial" panose="020B0604020202020204" pitchFamily="34" charset="0"/>
              </a:rPr>
              <a:t>ŞI INDICELUI  VALORIC AL CIFREI DE AFACERI</a:t>
            </a:r>
            <a:endParaRPr lang="en-US" sz="800">
              <a:effectLst/>
              <a:latin typeface="Arial" panose="020B0604020202020204" pitchFamily="34" charset="0"/>
              <a:cs typeface="Arial" panose="020B0604020202020204" pitchFamily="34" charset="0"/>
            </a:endParaRPr>
          </a:p>
        </c:rich>
      </c:tx>
      <c:layout>
        <c:manualLayout>
          <c:xMode val="edge"/>
          <c:yMode val="edge"/>
          <c:x val="0.26376148293963253"/>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8137403877146941E-2"/>
          <c:y val="0.20202020202020202"/>
          <c:w val="0.86401788293209758"/>
          <c:h val="0.65668394756440573"/>
        </c:manualLayout>
      </c:layout>
      <c:barChart>
        <c:barDir val="col"/>
        <c:grouping val="clustered"/>
        <c:varyColors val="0"/>
        <c:ser>
          <c:idx val="0"/>
          <c:order val="0"/>
          <c:tx>
            <c:strRef>
              <c:f>Sheet1!$B$1</c:f>
              <c:strCache>
                <c:ptCount val="1"/>
                <c:pt idx="0">
                  <c:v>IPI</c:v>
                </c:pt>
              </c:strCache>
            </c:strRef>
          </c:tx>
          <c:spPr>
            <a:solidFill>
              <a:schemeClr val="accent1"/>
            </a:solidFill>
            <a:ln>
              <a:noFill/>
            </a:ln>
            <a:effectLst/>
          </c:spPr>
          <c:invertIfNegative val="0"/>
          <c:cat>
            <c:numRef>
              <c:f>Sheet1!$A$2:$A$14</c:f>
              <c:numCache>
                <c:formatCode>[$-418]mmm\-yy;@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Sheet1!$B$2:$B$14</c:f>
              <c:numCache>
                <c:formatCode>#,#00</c:formatCode>
                <c:ptCount val="13"/>
                <c:pt idx="0">
                  <c:v>105.1</c:v>
                </c:pt>
                <c:pt idx="1">
                  <c:v>105.4</c:v>
                </c:pt>
                <c:pt idx="2">
                  <c:v>98</c:v>
                </c:pt>
                <c:pt idx="3">
                  <c:v>111.9</c:v>
                </c:pt>
                <c:pt idx="4">
                  <c:v>125.5</c:v>
                </c:pt>
                <c:pt idx="5">
                  <c:v>160.1</c:v>
                </c:pt>
                <c:pt idx="6">
                  <c:v>102.6</c:v>
                </c:pt>
                <c:pt idx="7">
                  <c:v>100.8</c:v>
                </c:pt>
                <c:pt idx="8">
                  <c:v>107</c:v>
                </c:pt>
                <c:pt idx="9">
                  <c:v>104.5</c:v>
                </c:pt>
                <c:pt idx="10">
                  <c:v>99</c:v>
                </c:pt>
                <c:pt idx="11">
                  <c:v>100.4</c:v>
                </c:pt>
                <c:pt idx="12">
                  <c:v>98.2</c:v>
                </c:pt>
              </c:numCache>
            </c:numRef>
          </c:val>
          <c:extLst>
            <c:ext xmlns:c16="http://schemas.microsoft.com/office/drawing/2014/chart" uri="{C3380CC4-5D6E-409C-BE32-E72D297353CC}">
              <c16:uniqueId val="{00000000-C556-4C73-B519-5395E047F685}"/>
            </c:ext>
          </c:extLst>
        </c:ser>
        <c:ser>
          <c:idx val="1"/>
          <c:order val="1"/>
          <c:tx>
            <c:strRef>
              <c:f>Sheet1!$C$1</c:f>
              <c:strCache>
                <c:ptCount val="1"/>
                <c:pt idx="0">
                  <c:v>ICA</c:v>
                </c:pt>
              </c:strCache>
            </c:strRef>
          </c:tx>
          <c:spPr>
            <a:solidFill>
              <a:schemeClr val="accent2"/>
            </a:solidFill>
            <a:ln>
              <a:noFill/>
            </a:ln>
            <a:effectLst/>
          </c:spPr>
          <c:invertIfNegative val="0"/>
          <c:cat>
            <c:numRef>
              <c:f>Sheet1!$A$2:$A$14</c:f>
              <c:numCache>
                <c:formatCode>[$-418]mmm\-yy;@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Sheet1!$C$2:$C$14</c:f>
              <c:numCache>
                <c:formatCode>General</c:formatCode>
                <c:ptCount val="13"/>
                <c:pt idx="0">
                  <c:v>115.6</c:v>
                </c:pt>
                <c:pt idx="1">
                  <c:v>120.3</c:v>
                </c:pt>
                <c:pt idx="2">
                  <c:v>117.4</c:v>
                </c:pt>
                <c:pt idx="3">
                  <c:v>123.4</c:v>
                </c:pt>
                <c:pt idx="4">
                  <c:v>116.9</c:v>
                </c:pt>
                <c:pt idx="5">
                  <c:v>125.4</c:v>
                </c:pt>
                <c:pt idx="6">
                  <c:v>115.6</c:v>
                </c:pt>
                <c:pt idx="7">
                  <c:v>105.9</c:v>
                </c:pt>
                <c:pt idx="8">
                  <c:v>108.5</c:v>
                </c:pt>
                <c:pt idx="9">
                  <c:v>119.2</c:v>
                </c:pt>
                <c:pt idx="10">
                  <c:v>108.3</c:v>
                </c:pt>
                <c:pt idx="11">
                  <c:v>112.8</c:v>
                </c:pt>
                <c:pt idx="12">
                  <c:v>111.9</c:v>
                </c:pt>
              </c:numCache>
            </c:numRef>
          </c:val>
          <c:extLst>
            <c:ext xmlns:c16="http://schemas.microsoft.com/office/drawing/2014/chart" uri="{C3380CC4-5D6E-409C-BE32-E72D297353CC}">
              <c16:uniqueId val="{00000001-C556-4C73-B519-5395E047F685}"/>
            </c:ext>
          </c:extLst>
        </c:ser>
        <c:dLbls>
          <c:showLegendKey val="0"/>
          <c:showVal val="0"/>
          <c:showCatName val="0"/>
          <c:showSerName val="0"/>
          <c:showPercent val="0"/>
          <c:showBubbleSize val="0"/>
        </c:dLbls>
        <c:gapWidth val="117"/>
        <c:overlap val="13"/>
        <c:axId val="474102408"/>
        <c:axId val="474103064"/>
      </c:barChart>
      <c:dateAx>
        <c:axId val="474102408"/>
        <c:scaling>
          <c:orientation val="minMax"/>
        </c:scaling>
        <c:delete val="0"/>
        <c:axPos val="b"/>
        <c:numFmt formatCode="[$-418]mmm\-yy;@" sourceLinked="1"/>
        <c:majorTickMark val="none"/>
        <c:minorTickMark val="none"/>
        <c:tickLblPos val="low"/>
        <c:spPr>
          <a:noFill/>
          <a:ln w="3175" cap="flat" cmpd="sng" algn="ctr">
            <a:solidFill>
              <a:schemeClr val="tx1">
                <a:lumMod val="15000"/>
                <a:lumOff val="85000"/>
              </a:schemeClr>
            </a:solidFill>
            <a:round/>
          </a:ln>
          <a:effectLst/>
        </c:spPr>
        <c:txPr>
          <a:bodyPr rot="6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4103064"/>
        <c:crossesAt val="100"/>
        <c:auto val="1"/>
        <c:lblOffset val="1"/>
        <c:baseTimeUnit val="months"/>
        <c:minorUnit val="1"/>
      </c:dateAx>
      <c:valAx>
        <c:axId val="474103064"/>
        <c:scaling>
          <c:orientation val="minMax"/>
          <c:min val="80"/>
        </c:scaling>
        <c:delete val="0"/>
        <c:axPos val="l"/>
        <c:majorGridlines>
          <c:spPr>
            <a:ln w="25400"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effectLst>
                  <a:outerShdw dist="50800" sx="1000" sy="1000" algn="ctr" rotWithShape="0">
                    <a:srgbClr val="000000"/>
                  </a:outerShdw>
                </a:effectLst>
                <a:latin typeface="Arial" panose="020B0604020202020204" pitchFamily="34" charset="0"/>
                <a:ea typeface="+mn-ea"/>
                <a:cs typeface="Arial" panose="020B0604020202020204" pitchFamily="34" charset="0"/>
              </a:defRPr>
            </a:pPr>
            <a:endParaRPr lang="en-US"/>
          </a:p>
        </c:txPr>
        <c:crossAx val="47410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29"/>
      <c:rotY val="0"/>
      <c:depthPercent val="500"/>
      <c:rAngAx val="1"/>
    </c:view3D>
    <c:floor>
      <c:thickness val="0"/>
      <c:spPr>
        <a:noFill/>
        <a:ln w="6350" cap="flat" cmpd="sng" algn="ctr">
          <a:noFill/>
          <a:prstDash val="solid"/>
          <a:round/>
        </a:ln>
        <a:effectLst/>
        <a:sp3d/>
      </c:spPr>
    </c:floor>
    <c:sideWall>
      <c:thickness val="0"/>
      <c:spPr>
        <a:solidFill>
          <a:srgbClr val="FFFFFF"/>
        </a:solidFill>
        <a:ln w="3175">
          <a:solidFill>
            <a:srgbClr val="000000"/>
          </a:solidFill>
          <a:prstDash val="solid"/>
        </a:ln>
        <a:effectLst/>
        <a:sp3d contourW="3175">
          <a:contourClr>
            <a:srgbClr val="000000"/>
          </a:contourClr>
        </a:sp3d>
      </c:spPr>
    </c:sideWall>
    <c:backWall>
      <c:thickness val="0"/>
      <c:spPr>
        <a:solidFill>
          <a:srgbClr val="FFFFFF"/>
        </a:solidFill>
        <a:ln w="3175">
          <a:solidFill>
            <a:srgbClr val="000000"/>
          </a:solidFill>
          <a:prstDash val="solid"/>
        </a:ln>
        <a:effectLst/>
        <a:sp3d contourW="3175">
          <a:contourClr>
            <a:srgbClr val="000000"/>
          </a:contourClr>
        </a:sp3d>
      </c:spPr>
    </c:backWall>
    <c:plotArea>
      <c:layout>
        <c:manualLayout>
          <c:layoutTarget val="inner"/>
          <c:xMode val="edge"/>
          <c:yMode val="edge"/>
          <c:x val="7.8183003615572955E-2"/>
          <c:y val="2.9661016949152543E-2"/>
          <c:w val="0.88691265936865016"/>
          <c:h val="0.65552436958038474"/>
        </c:manualLayout>
      </c:layout>
      <c:bar3DChart>
        <c:barDir val="col"/>
        <c:grouping val="clustered"/>
        <c:varyColors val="0"/>
        <c:ser>
          <c:idx val="0"/>
          <c:order val="0"/>
          <c:tx>
            <c:strRef>
              <c:f>Sheet1!$A$2</c:f>
              <c:strCache>
                <c:ptCount val="1"/>
                <c:pt idx="0">
                  <c:v>TOTAL EXPORTURI FOB</c:v>
                </c:pt>
              </c:strCache>
            </c:strRef>
          </c:tx>
          <c:spPr>
            <a:solidFill>
              <a:schemeClr val="accent1"/>
            </a:solidFill>
            <a:ln>
              <a:noFill/>
            </a:ln>
            <a:effectLst/>
            <a:sp3d/>
          </c:spPr>
          <c:invertIfNegative val="0"/>
          <c:cat>
            <c:numRef>
              <c:f>Sheet1!$B$1:$N$1</c:f>
              <c:numCache>
                <c:formatCode>mm/dd/yyyy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Sheet1!$B$2:$M$2</c:f>
              <c:numCache>
                <c:formatCode>General</c:formatCode>
                <c:ptCount val="12"/>
                <c:pt idx="0">
                  <c:v>246081</c:v>
                </c:pt>
                <c:pt idx="1">
                  <c:v>257551</c:v>
                </c:pt>
                <c:pt idx="2">
                  <c:v>233746</c:v>
                </c:pt>
                <c:pt idx="3">
                  <c:v>274931</c:v>
                </c:pt>
                <c:pt idx="4">
                  <c:v>274091</c:v>
                </c:pt>
                <c:pt idx="5">
                  <c:v>285585</c:v>
                </c:pt>
                <c:pt idx="6">
                  <c:v>232029</c:v>
                </c:pt>
                <c:pt idx="7">
                  <c:v>230413</c:v>
                </c:pt>
                <c:pt idx="8">
                  <c:v>248695</c:v>
                </c:pt>
                <c:pt idx="9">
                  <c:v>270382</c:v>
                </c:pt>
                <c:pt idx="10">
                  <c:v>222321</c:v>
                </c:pt>
                <c:pt idx="11">
                  <c:v>273693</c:v>
                </c:pt>
              </c:numCache>
            </c:numRef>
          </c:val>
          <c:extLst>
            <c:ext xmlns:c16="http://schemas.microsoft.com/office/drawing/2014/chart" uri="{C3380CC4-5D6E-409C-BE32-E72D297353CC}">
              <c16:uniqueId val="{00000000-0D9F-4542-99B5-9238146AE74A}"/>
            </c:ext>
          </c:extLst>
        </c:ser>
        <c:ser>
          <c:idx val="1"/>
          <c:order val="1"/>
          <c:tx>
            <c:strRef>
              <c:f>Sheet1!$A$3</c:f>
              <c:strCache>
                <c:ptCount val="1"/>
                <c:pt idx="0">
                  <c:v>TOTAL IMPORTURI CIF</c:v>
                </c:pt>
              </c:strCache>
            </c:strRef>
          </c:tx>
          <c:spPr>
            <a:solidFill>
              <a:schemeClr val="accent3"/>
            </a:solidFill>
            <a:ln>
              <a:noFill/>
            </a:ln>
            <a:effectLst/>
            <a:sp3d/>
          </c:spPr>
          <c:invertIfNegative val="0"/>
          <c:cat>
            <c:numRef>
              <c:f>Sheet1!$B$1:$N$1</c:f>
              <c:numCache>
                <c:formatCode>mm/dd/yyyy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Sheet1!$B$3:$M$3</c:f>
              <c:numCache>
                <c:formatCode>General</c:formatCode>
                <c:ptCount val="12"/>
                <c:pt idx="0">
                  <c:v>380884</c:v>
                </c:pt>
                <c:pt idx="1">
                  <c:v>361046</c:v>
                </c:pt>
                <c:pt idx="2">
                  <c:v>333381</c:v>
                </c:pt>
                <c:pt idx="3">
                  <c:v>373982</c:v>
                </c:pt>
                <c:pt idx="4">
                  <c:v>375222</c:v>
                </c:pt>
                <c:pt idx="5">
                  <c:v>371254</c:v>
                </c:pt>
                <c:pt idx="6">
                  <c:v>342326</c:v>
                </c:pt>
                <c:pt idx="7">
                  <c:v>354099</c:v>
                </c:pt>
                <c:pt idx="8">
                  <c:v>348034</c:v>
                </c:pt>
                <c:pt idx="9">
                  <c:v>392836</c:v>
                </c:pt>
                <c:pt idx="10">
                  <c:v>340333</c:v>
                </c:pt>
                <c:pt idx="11">
                  <c:v>369066</c:v>
                </c:pt>
              </c:numCache>
            </c:numRef>
          </c:val>
          <c:extLst>
            <c:ext xmlns:c16="http://schemas.microsoft.com/office/drawing/2014/chart" uri="{C3380CC4-5D6E-409C-BE32-E72D297353CC}">
              <c16:uniqueId val="{00000001-0D9F-4542-99B5-9238146AE74A}"/>
            </c:ext>
          </c:extLst>
        </c:ser>
        <c:ser>
          <c:idx val="2"/>
          <c:order val="2"/>
          <c:tx>
            <c:strRef>
              <c:f>Sheet1!$A$4</c:f>
              <c:strCache>
                <c:ptCount val="1"/>
                <c:pt idx="0">
                  <c:v>Sold FOB/ CIF</c:v>
                </c:pt>
              </c:strCache>
            </c:strRef>
          </c:tx>
          <c:spPr>
            <a:solidFill>
              <a:schemeClr val="accent5"/>
            </a:solidFill>
            <a:ln>
              <a:noFill/>
            </a:ln>
            <a:effectLst/>
            <a:sp3d/>
          </c:spPr>
          <c:invertIfNegative val="0"/>
          <c:cat>
            <c:numRef>
              <c:f>Sheet1!$B$1:$N$1</c:f>
              <c:numCache>
                <c:formatCode>mm/dd/yyyy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Sheet1!$B$4:$M$4</c:f>
              <c:numCache>
                <c:formatCode>General</c:formatCode>
                <c:ptCount val="12"/>
                <c:pt idx="0">
                  <c:v>-134803</c:v>
                </c:pt>
                <c:pt idx="1">
                  <c:v>-103495</c:v>
                </c:pt>
                <c:pt idx="2">
                  <c:v>-99635</c:v>
                </c:pt>
                <c:pt idx="3">
                  <c:v>-99051</c:v>
                </c:pt>
                <c:pt idx="4">
                  <c:v>-101131</c:v>
                </c:pt>
                <c:pt idx="5">
                  <c:v>-85669</c:v>
                </c:pt>
                <c:pt idx="6">
                  <c:v>-110297</c:v>
                </c:pt>
                <c:pt idx="7">
                  <c:v>-123686</c:v>
                </c:pt>
                <c:pt idx="8">
                  <c:v>-99339</c:v>
                </c:pt>
                <c:pt idx="9">
                  <c:v>-122454</c:v>
                </c:pt>
                <c:pt idx="10">
                  <c:v>-118012</c:v>
                </c:pt>
                <c:pt idx="11">
                  <c:v>-95373</c:v>
                </c:pt>
              </c:numCache>
            </c:numRef>
          </c:val>
          <c:extLst>
            <c:ext xmlns:c16="http://schemas.microsoft.com/office/drawing/2014/chart" uri="{C3380CC4-5D6E-409C-BE32-E72D297353CC}">
              <c16:uniqueId val="{00000002-0D9F-4542-99B5-9238146AE74A}"/>
            </c:ext>
          </c:extLst>
        </c:ser>
        <c:dLbls>
          <c:showLegendKey val="0"/>
          <c:showVal val="0"/>
          <c:showCatName val="0"/>
          <c:showSerName val="0"/>
          <c:showPercent val="0"/>
          <c:showBubbleSize val="0"/>
        </c:dLbls>
        <c:gapWidth val="150"/>
        <c:gapDepth val="0"/>
        <c:shape val="box"/>
        <c:axId val="1665204352"/>
        <c:axId val="1"/>
        <c:axId val="0"/>
      </c:bar3DChart>
      <c:dateAx>
        <c:axId val="1665204352"/>
        <c:scaling>
          <c:orientation val="minMax"/>
        </c:scaling>
        <c:delete val="0"/>
        <c:axPos val="b"/>
        <c:numFmt formatCode="mmm\-yy" sourceLinked="0"/>
        <c:majorTickMark val="out"/>
        <c:minorTickMark val="none"/>
        <c:tickLblPos val="low"/>
        <c:spPr>
          <a:noFill/>
          <a:ln w="12700" cap="flat" cmpd="sng" algn="ctr">
            <a:solidFill>
              <a:srgbClr val="000000"/>
            </a:solidFill>
            <a:prstDash val="solid"/>
            <a:round/>
          </a:ln>
          <a:effectLst/>
        </c:spPr>
        <c:txPr>
          <a:bodyPr rot="-2700000" spcFirstLastPara="1" vertOverflow="ellipsis" wrap="square" anchor="ctr" anchorCtr="1"/>
          <a:lstStyle/>
          <a:p>
            <a:pPr>
              <a:defRPr sz="525" b="0" i="0" u="none" strike="noStrike" kern="1200" baseline="0">
                <a:solidFill>
                  <a:srgbClr val="000000"/>
                </a:solidFill>
                <a:latin typeface="Calibri"/>
                <a:ea typeface="Calibri"/>
                <a:cs typeface="Calibri"/>
              </a:defRPr>
            </a:pPr>
            <a:endParaRPr lang="en-US"/>
          </a:p>
        </c:txPr>
        <c:crossAx val="1"/>
        <c:crosses val="autoZero"/>
        <c:auto val="1"/>
        <c:lblOffset val="100"/>
        <c:baseTimeUnit val="months"/>
        <c:majorUnit val="1"/>
        <c:majorTimeUnit val="months"/>
        <c:minorUnit val="1"/>
        <c:minorTimeUnit val="months"/>
      </c:dateAx>
      <c:valAx>
        <c:axId val="1"/>
        <c:scaling>
          <c:orientation val="minMax"/>
          <c:max val="400000"/>
          <c:min val="-200000"/>
        </c:scaling>
        <c:delete val="0"/>
        <c:axPos val="l"/>
        <c:majorGridlines>
          <c:spPr>
            <a:ln w="2540" cap="flat" cmpd="sng" algn="ctr">
              <a:solidFill>
                <a:srgbClr val="000000"/>
              </a:solidFill>
              <a:prstDash val="sysDash"/>
              <a:round/>
            </a:ln>
            <a:effectLst/>
          </c:spPr>
        </c:majorGridlines>
        <c:title>
          <c:tx>
            <c:rich>
              <a:bodyPr rot="0" spcFirstLastPara="1" vertOverflow="ellipsis" vert="wordArtVert" wrap="square" anchor="ctr" anchorCtr="1"/>
              <a:lstStyle/>
              <a:p>
                <a:pPr algn="ctr">
                  <a:defRPr sz="800" b="0" i="0" u="none" strike="noStrike" kern="1200" baseline="0">
                    <a:solidFill>
                      <a:srgbClr val="000000"/>
                    </a:solidFill>
                    <a:latin typeface="Calibri"/>
                    <a:ea typeface="Calibri"/>
                    <a:cs typeface="Calibri"/>
                  </a:defRPr>
                </a:pPr>
                <a:r>
                  <a:rPr lang="en-GB" b="0" i="0" baseline="0"/>
                  <a:t>mii euro</a:t>
                </a:r>
              </a:p>
            </c:rich>
          </c:tx>
          <c:layout>
            <c:manualLayout>
              <c:xMode val="edge"/>
              <c:yMode val="edge"/>
              <c:x val="1.5045889964391389E-2"/>
              <c:y val="6.768942489783715E-2"/>
            </c:manualLayout>
          </c:layout>
          <c:overlay val="0"/>
          <c:spPr>
            <a:noFill/>
            <a:ln w="25399">
              <a:noFill/>
            </a:ln>
            <a:effectLst/>
          </c:spPr>
          <c:txPr>
            <a:bodyPr rot="0" spcFirstLastPara="1" vertOverflow="ellipsis" vert="wordArtVert" wrap="square" anchor="ctr" anchorCtr="1"/>
            <a:lstStyle/>
            <a:p>
              <a:pPr algn="ctr">
                <a:defRPr sz="800" b="0"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525" b="0" i="0" u="none" strike="noStrike" kern="1200" baseline="0">
                <a:solidFill>
                  <a:srgbClr val="000000"/>
                </a:solidFill>
                <a:latin typeface="Calibri"/>
                <a:ea typeface="Calibri"/>
                <a:cs typeface="Calibri"/>
              </a:defRPr>
            </a:pPr>
            <a:endParaRPr lang="en-US"/>
          </a:p>
        </c:txPr>
        <c:crossAx val="1665204352"/>
        <c:crosses val="autoZero"/>
        <c:crossBetween val="between"/>
        <c:majorUnit val="50000"/>
        <c:minorUnit val="50000"/>
      </c:valAx>
      <c:spPr>
        <a:noFill/>
        <a:ln w="25399">
          <a:noFill/>
        </a:ln>
        <a:effectLst/>
      </c:spPr>
    </c:plotArea>
    <c:legend>
      <c:legendPos val="b"/>
      <c:layout>
        <c:manualLayout>
          <c:xMode val="edge"/>
          <c:yMode val="edge"/>
          <c:x val="8.3464566929133857E-2"/>
          <c:y val="0.77118644067796616"/>
          <c:w val="0.84409448818897637"/>
          <c:h val="0.15677966101694915"/>
        </c:manualLayout>
      </c:layout>
      <c:overlay val="0"/>
      <c:spPr>
        <a:pattFill prst="pct5">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700">
          <a:solidFill>
            <a:srgbClr val="FFFFFF"/>
          </a:solidFill>
          <a:prstDash val="solid"/>
        </a:ln>
        <a:effectLst/>
      </c:spPr>
      <c:txPr>
        <a:bodyPr rot="0" spcFirstLastPara="1" vertOverflow="ellipsis" vert="horz" wrap="square" anchor="ctr" anchorCtr="1"/>
        <a:lstStyle/>
        <a:p>
          <a:pPr>
            <a:defRPr sz="800" b="0" i="0" u="none" strike="noStrike" kern="1200" baseline="0">
              <a:solidFill>
                <a:srgbClr val="000000"/>
              </a:solidFill>
              <a:latin typeface="Cambria" panose="02040503050406030204" pitchFamily="18" charset="0"/>
              <a:ea typeface="Calibri"/>
              <a:cs typeface="Calibri"/>
            </a:defRPr>
          </a:pPr>
          <a:endParaRPr lang="en-US"/>
        </a:p>
      </c:txPr>
    </c:legend>
    <c:plotVisOnly val="1"/>
    <c:dispBlanksAs val="gap"/>
    <c:showDLblsOverMax val="0"/>
  </c:chart>
  <c:spPr>
    <a:solidFill>
      <a:srgbClr val="FFFFFF"/>
    </a:solidFill>
    <a:ln w="9525" cap="flat" cmpd="sng" algn="ctr">
      <a:solidFill>
        <a:srgbClr val="FFFFFF">
          <a:alpha val="74000"/>
        </a:srgbClr>
      </a:solidFill>
      <a:prstDash val="solid"/>
      <a:round/>
    </a:ln>
    <a:effectLst/>
  </c:spPr>
  <c:txPr>
    <a:bodyPr/>
    <a:lstStyle/>
    <a:p>
      <a:pPr>
        <a:defRPr sz="475" b="0" i="0" u="none" strike="noStrike" baseline="0">
          <a:solidFill>
            <a:srgbClr val="000000"/>
          </a:solidFill>
          <a:latin typeface="Arial"/>
          <a:ea typeface="Arial"/>
          <a:cs typeface="Aria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solidFill>
                  <a:sysClr val="windowText" lastClr="000000"/>
                </a:solidFill>
              </a:rPr>
              <a:t>Exporturi (FOB)</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Exporturi (FOB)</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F44-4AFD-A27E-903576E7F92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F44-4AFD-A27E-903576E7F92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7F44-4AFD-A27E-903576E7F92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F44-4AFD-A27E-903576E7F92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7F44-4AFD-A27E-903576E7F92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7F44-4AFD-A27E-903576E7F92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7F44-4AFD-A27E-903576E7F92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44-4AFD-A27E-903576E7F92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7F44-4AFD-A27E-903576E7F928}"/>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44-4AFD-A27E-903576E7F928}"/>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F44-4AFD-A27E-903576E7F928}"/>
                </c:ext>
              </c:extLst>
            </c:dLbl>
            <c:dLbl>
              <c:idx val="1"/>
              <c:layout>
                <c:manualLayout>
                  <c:x val="1.3437849944008958E-2"/>
                  <c:y val="-0.1151631477927064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44-4AFD-A27E-903576E7F928}"/>
                </c:ext>
              </c:extLst>
            </c:dLbl>
            <c:dLbl>
              <c:idx val="2"/>
              <c:layout>
                <c:manualLayout>
                  <c:x val="8.0627099664053584E-2"/>
                  <c:y val="-0.1074856046065259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F44-4AFD-A27E-903576E7F928}"/>
                </c:ext>
              </c:extLst>
            </c:dLbl>
            <c:dLbl>
              <c:idx val="3"/>
              <c:layout>
                <c:manualLayout>
                  <c:x val="0.11198208286674133"/>
                  <c:y val="7.67754318618042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44-4AFD-A27E-903576E7F928}"/>
                </c:ext>
              </c:extLst>
            </c:dLbl>
            <c:dLbl>
              <c:idx val="4"/>
              <c:layout>
                <c:manualLayout>
                  <c:x val="4.4792833146696444E-2"/>
                  <c:y val="-1.535508637236098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F44-4AFD-A27E-903576E7F928}"/>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7F44-4AFD-A27E-903576E7F928}"/>
                </c:ext>
              </c:extLst>
            </c:dLbl>
            <c:dLbl>
              <c:idx val="6"/>
              <c:layout>
                <c:manualLayout>
                  <c:x val="-4.4792833146696529E-3"/>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F44-4AFD-A27E-903576E7F928}"/>
                </c:ext>
              </c:extLst>
            </c:dLbl>
            <c:dLbl>
              <c:idx val="7"/>
              <c:layout>
                <c:manualLayout>
                  <c:x val="-2.6875699888017916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44-4AFD-A27E-903576E7F928}"/>
                </c:ext>
              </c:extLst>
            </c:dLbl>
            <c:dLbl>
              <c:idx val="8"/>
              <c:layout>
                <c:manualLayout>
                  <c:x val="-0.12094064949608063"/>
                  <c:y val="-6.909788867562394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F44-4AFD-A27E-903576E7F928}"/>
                </c:ext>
              </c:extLst>
            </c:dLbl>
            <c:dLbl>
              <c:idx val="9"/>
              <c:layout>
                <c:manualLayout>
                  <c:x val="-9.8544232922732358E-2"/>
                  <c:y val="-0.1074856046065259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44-4AFD-A27E-903576E7F92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Italia</c:v>
                </c:pt>
                <c:pt idx="1">
                  <c:v>Germania</c:v>
                </c:pt>
                <c:pt idx="2">
                  <c:v>Franta</c:v>
                </c:pt>
                <c:pt idx="3">
                  <c:v>Bulgaria</c:v>
                </c:pt>
                <c:pt idx="4">
                  <c:v>Turcia</c:v>
                </c:pt>
                <c:pt idx="5">
                  <c:v>Spania</c:v>
                </c:pt>
                <c:pt idx="6">
                  <c:v>Cehia</c:v>
                </c:pt>
                <c:pt idx="7">
                  <c:v>Alte tari</c:v>
                </c:pt>
              </c:strCache>
            </c:strRef>
          </c:cat>
          <c:val>
            <c:numRef>
              <c:f>Sheet1!$B$2:$B$9</c:f>
              <c:numCache>
                <c:formatCode>General</c:formatCode>
                <c:ptCount val="8"/>
                <c:pt idx="0">
                  <c:v>16</c:v>
                </c:pt>
                <c:pt idx="1">
                  <c:v>12.1</c:v>
                </c:pt>
                <c:pt idx="2">
                  <c:v>6</c:v>
                </c:pt>
                <c:pt idx="3">
                  <c:v>5.0999999999999996</c:v>
                </c:pt>
                <c:pt idx="4">
                  <c:v>4.5999999999999996</c:v>
                </c:pt>
                <c:pt idx="5">
                  <c:v>4</c:v>
                </c:pt>
                <c:pt idx="6">
                  <c:v>3.6</c:v>
                </c:pt>
                <c:pt idx="7">
                  <c:v>48.6</c:v>
                </c:pt>
              </c:numCache>
            </c:numRef>
          </c:val>
          <c:extLst>
            <c:ext xmlns:c16="http://schemas.microsoft.com/office/drawing/2014/chart" uri="{C3380CC4-5D6E-409C-BE32-E72D297353CC}">
              <c16:uniqueId val="{00000000-7F44-4AFD-A27E-903576E7F928}"/>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o-RO" sz="1000">
                <a:solidFill>
                  <a:sysClr val="windowText" lastClr="000000"/>
                </a:solidFill>
              </a:rPr>
              <a:t>IMPORTURI (CIF)</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Exporturi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59D-447B-A911-B4EB059BA2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59D-447B-A911-B4EB059BA2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59D-447B-A911-B4EB059BA2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59D-447B-A911-B4EB059BA2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59D-447B-A911-B4EB059BA2A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59D-447B-A911-B4EB059BA2A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59D-447B-A911-B4EB059BA2A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59D-447B-A911-B4EB059BA2A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59D-447B-A911-B4EB059BA2A3}"/>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A59D-447B-A911-B4EB059BA2A3}"/>
              </c:ext>
            </c:extLst>
          </c:dPt>
          <c:dLbls>
            <c:dLbl>
              <c:idx val="0"/>
              <c:layout>
                <c:manualLayout>
                  <c:x val="5.6977365511281977E-2"/>
                  <c:y val="-0.1354234324925637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1"/>
                      </a:solidFill>
                      <a:latin typeface="+mj-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9D-447B-A911-B4EB059BA2A3}"/>
                </c:ext>
              </c:extLst>
            </c:dLbl>
            <c:dLbl>
              <c:idx val="1"/>
              <c:layout>
                <c:manualLayout>
                  <c:x val="6.7696078863602294E-2"/>
                  <c:y val="-0.1710832728703880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2"/>
                      </a:solidFill>
                      <a:latin typeface="+mj-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9D-447B-A911-B4EB059BA2A3}"/>
                </c:ext>
              </c:extLst>
            </c:dLbl>
            <c:dLbl>
              <c:idx val="2"/>
              <c:layout>
                <c:manualLayout>
                  <c:x val="0.10867094020862182"/>
                  <c:y val="-5.570551555928001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3"/>
                      </a:solidFill>
                      <a:latin typeface="+mj-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9D-447B-A911-B4EB059BA2A3}"/>
                </c:ext>
              </c:extLst>
            </c:dLbl>
            <c:dLbl>
              <c:idx val="3"/>
              <c:layout>
                <c:manualLayout>
                  <c:x val="0.12490569697824726"/>
                  <c:y val="-1.336039217471158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4"/>
                      </a:solidFill>
                      <a:latin typeface="+mj-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9D-447B-A911-B4EB059BA2A3}"/>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5"/>
                      </a:solidFill>
                      <a:latin typeface="+mj-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9-A59D-447B-A911-B4EB059BA2A3}"/>
                </c:ext>
              </c:extLst>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6"/>
                      </a:solidFill>
                      <a:latin typeface="+mj-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B-A59D-447B-A911-B4EB059BA2A3}"/>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1">
                          <a:lumMod val="60000"/>
                        </a:schemeClr>
                      </a:solidFill>
                      <a:latin typeface="+mj-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A59D-447B-A911-B4EB059BA2A3}"/>
                </c:ext>
              </c:extLst>
            </c:dLbl>
            <c:dLbl>
              <c:idx val="7"/>
              <c:layout>
                <c:manualLayout>
                  <c:x val="-4.74236185202494E-2"/>
                  <c:y val="-4.531802616818426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2">
                          <a:lumMod val="60000"/>
                        </a:schemeClr>
                      </a:solidFill>
                      <a:latin typeface="+mj-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59D-447B-A911-B4EB059BA2A3}"/>
                </c:ext>
              </c:extLst>
            </c:dLbl>
            <c:dLbl>
              <c:idx val="8"/>
              <c:layout>
                <c:manualLayout>
                  <c:x val="-0.1200001763497368"/>
                  <c:y val="-0.2374990554203757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3">
                          <a:lumMod val="60000"/>
                        </a:schemeClr>
                      </a:solidFill>
                      <a:latin typeface="+mj-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A59D-447B-A911-B4EB059BA2A3}"/>
                </c:ext>
              </c:extLst>
            </c:dLbl>
            <c:dLbl>
              <c:idx val="9"/>
              <c:layout>
                <c:manualLayout>
                  <c:x val="-0.11906375924733932"/>
                  <c:y val="-0.1448008826152009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4">
                          <a:lumMod val="60000"/>
                        </a:schemeClr>
                      </a:solidFill>
                      <a:latin typeface="+mj-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A59D-447B-A911-B4EB059BA2A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accent1"/>
                    </a:solidFill>
                    <a:latin typeface="+mj-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Germania</c:v>
                </c:pt>
                <c:pt idx="1">
                  <c:v>Italia</c:v>
                </c:pt>
                <c:pt idx="2">
                  <c:v>Polonia</c:v>
                </c:pt>
                <c:pt idx="3">
                  <c:v>China</c:v>
                </c:pt>
                <c:pt idx="4">
                  <c:v>Belgia</c:v>
                </c:pt>
                <c:pt idx="5">
                  <c:v>Tarile de Jos (Olanda)</c:v>
                </c:pt>
                <c:pt idx="6">
                  <c:v>Ungaria</c:v>
                </c:pt>
                <c:pt idx="7">
                  <c:v>Alte țări</c:v>
                </c:pt>
              </c:strCache>
            </c:strRef>
          </c:cat>
          <c:val>
            <c:numRef>
              <c:f>Sheet1!$B$2:$B$9</c:f>
              <c:numCache>
                <c:formatCode>General</c:formatCode>
                <c:ptCount val="8"/>
                <c:pt idx="0">
                  <c:v>30.1</c:v>
                </c:pt>
                <c:pt idx="1">
                  <c:v>10.7</c:v>
                </c:pt>
                <c:pt idx="2">
                  <c:v>9</c:v>
                </c:pt>
                <c:pt idx="3">
                  <c:v>6.6</c:v>
                </c:pt>
                <c:pt idx="4">
                  <c:v>5.4</c:v>
                </c:pt>
                <c:pt idx="5">
                  <c:v>4.3</c:v>
                </c:pt>
                <c:pt idx="6">
                  <c:v>3.8</c:v>
                </c:pt>
                <c:pt idx="7">
                  <c:v>30.1</c:v>
                </c:pt>
              </c:numCache>
            </c:numRef>
          </c:val>
          <c:extLst>
            <c:ext xmlns:c16="http://schemas.microsoft.com/office/drawing/2014/chart" uri="{C3380CC4-5D6E-409C-BE32-E72D297353CC}">
              <c16:uniqueId val="{00000014-A59D-447B-A911-B4EB059BA2A3}"/>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FF0000"/>
                </a:solidFill>
                <a:latin typeface="Times New Roman"/>
                <a:ea typeface="Times New Roman"/>
                <a:cs typeface="Times New Roman"/>
              </a:defRPr>
            </a:pPr>
            <a:r>
              <a:rPr lang="vi-VN">
                <a:solidFill>
                  <a:sysClr val="windowText" lastClr="000000"/>
                </a:solidFill>
              </a:rPr>
              <a:t>Numărul locuinţelor te</a:t>
            </a:r>
            <a:r>
              <a:rPr lang="en-GB">
                <a:solidFill>
                  <a:sysClr val="windowText" lastClr="000000"/>
                </a:solidFill>
              </a:rPr>
              <a:t>r</a:t>
            </a:r>
            <a:r>
              <a:rPr lang="vi-VN">
                <a:solidFill>
                  <a:sysClr val="windowText" lastClr="000000"/>
                </a:solidFill>
              </a:rPr>
              <a:t>minate în judeţul Prahova</a:t>
            </a:r>
          </a:p>
        </c:rich>
      </c:tx>
      <c:layout>
        <c:manualLayout>
          <c:xMode val="edge"/>
          <c:yMode val="edge"/>
          <c:x val="0.17055567280118364"/>
          <c:y val="3.6993442071632757E-2"/>
        </c:manualLayout>
      </c:layout>
      <c:overlay val="0"/>
      <c:spPr>
        <a:noFill/>
        <a:ln w="25370">
          <a:noFill/>
        </a:ln>
      </c:spPr>
    </c:title>
    <c:autoTitleDeleted val="0"/>
    <c:view3D>
      <c:rotX val="15"/>
      <c:hPercent val="58"/>
      <c:rotY val="4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7259713701431493E-2"/>
          <c:y val="0.16385542168674699"/>
          <c:w val="0.94274028629856854"/>
          <c:h val="0.61686746987951813"/>
        </c:manualLayout>
      </c:layout>
      <c:bar3DChart>
        <c:barDir val="col"/>
        <c:grouping val="clustered"/>
        <c:varyColors val="0"/>
        <c:ser>
          <c:idx val="1"/>
          <c:order val="0"/>
          <c:tx>
            <c:strRef>
              <c:f>Sheet1!$A$2</c:f>
              <c:strCache>
                <c:ptCount val="1"/>
                <c:pt idx="0">
                  <c:v>   cu 1 cameră</c:v>
                </c:pt>
              </c:strCache>
            </c:strRef>
          </c:tx>
          <c:spPr>
            <a:solidFill>
              <a:srgbClr val="993366"/>
            </a:solidFill>
            <a:ln w="12685">
              <a:solidFill>
                <a:srgbClr val="000000"/>
              </a:solidFill>
              <a:prstDash val="solid"/>
            </a:ln>
          </c:spPr>
          <c:invertIfNegative val="0"/>
          <c:cat>
            <c:strRef>
              <c:f>Sheet1!$B$1:$C$1</c:f>
              <c:strCache>
                <c:ptCount val="2"/>
                <c:pt idx="0">
                  <c:v>sem.I 2022</c:v>
                </c:pt>
                <c:pt idx="1">
                  <c:v>sem.I 2023</c:v>
                </c:pt>
              </c:strCache>
            </c:strRef>
          </c:cat>
          <c:val>
            <c:numRef>
              <c:f>Sheet1!$B$2:$C$2</c:f>
              <c:numCache>
                <c:formatCode>General</c:formatCode>
                <c:ptCount val="2"/>
                <c:pt idx="0">
                  <c:v>14</c:v>
                </c:pt>
                <c:pt idx="1">
                  <c:v>3</c:v>
                </c:pt>
              </c:numCache>
            </c:numRef>
          </c:val>
          <c:extLst>
            <c:ext xmlns:c16="http://schemas.microsoft.com/office/drawing/2014/chart" uri="{C3380CC4-5D6E-409C-BE32-E72D297353CC}">
              <c16:uniqueId val="{00000000-506C-42BB-A423-B2960524F4EB}"/>
            </c:ext>
          </c:extLst>
        </c:ser>
        <c:ser>
          <c:idx val="2"/>
          <c:order val="1"/>
          <c:tx>
            <c:strRef>
              <c:f>Sheet1!$A$3</c:f>
              <c:strCache>
                <c:ptCount val="1"/>
                <c:pt idx="0">
                  <c:v>   cu 2 camere</c:v>
                </c:pt>
              </c:strCache>
            </c:strRef>
          </c:tx>
          <c:spPr>
            <a:solidFill>
              <a:srgbClr val="FFFFCC"/>
            </a:solidFill>
            <a:ln w="12685">
              <a:solidFill>
                <a:srgbClr val="000000"/>
              </a:solidFill>
              <a:prstDash val="solid"/>
            </a:ln>
          </c:spPr>
          <c:invertIfNegative val="0"/>
          <c:cat>
            <c:strRef>
              <c:f>Sheet1!$B$1:$C$1</c:f>
              <c:strCache>
                <c:ptCount val="2"/>
                <c:pt idx="0">
                  <c:v>sem.I 2022</c:v>
                </c:pt>
                <c:pt idx="1">
                  <c:v>sem.I 2023</c:v>
                </c:pt>
              </c:strCache>
            </c:strRef>
          </c:cat>
          <c:val>
            <c:numRef>
              <c:f>Sheet1!$B$3:$C$3</c:f>
              <c:numCache>
                <c:formatCode>General</c:formatCode>
                <c:ptCount val="2"/>
                <c:pt idx="0">
                  <c:v>56</c:v>
                </c:pt>
                <c:pt idx="1">
                  <c:v>26</c:v>
                </c:pt>
              </c:numCache>
            </c:numRef>
          </c:val>
          <c:extLst>
            <c:ext xmlns:c16="http://schemas.microsoft.com/office/drawing/2014/chart" uri="{C3380CC4-5D6E-409C-BE32-E72D297353CC}">
              <c16:uniqueId val="{00000001-506C-42BB-A423-B2960524F4EB}"/>
            </c:ext>
          </c:extLst>
        </c:ser>
        <c:ser>
          <c:idx val="3"/>
          <c:order val="2"/>
          <c:tx>
            <c:strRef>
              <c:f>Sheet1!$A$4</c:f>
              <c:strCache>
                <c:ptCount val="1"/>
                <c:pt idx="0">
                  <c:v>   cu 3 camere</c:v>
                </c:pt>
              </c:strCache>
            </c:strRef>
          </c:tx>
          <c:spPr>
            <a:solidFill>
              <a:srgbClr val="CCFFFF"/>
            </a:solidFill>
            <a:ln w="12685">
              <a:solidFill>
                <a:srgbClr val="000000"/>
              </a:solidFill>
              <a:prstDash val="solid"/>
            </a:ln>
          </c:spPr>
          <c:invertIfNegative val="0"/>
          <c:cat>
            <c:strRef>
              <c:f>Sheet1!$B$1:$C$1</c:f>
              <c:strCache>
                <c:ptCount val="2"/>
                <c:pt idx="0">
                  <c:v>sem.I 2022</c:v>
                </c:pt>
                <c:pt idx="1">
                  <c:v>sem.I 2023</c:v>
                </c:pt>
              </c:strCache>
            </c:strRef>
          </c:cat>
          <c:val>
            <c:numRef>
              <c:f>Sheet1!$B$4:$C$4</c:f>
              <c:numCache>
                <c:formatCode>General</c:formatCode>
                <c:ptCount val="2"/>
                <c:pt idx="0">
                  <c:v>158</c:v>
                </c:pt>
                <c:pt idx="1">
                  <c:v>172</c:v>
                </c:pt>
              </c:numCache>
            </c:numRef>
          </c:val>
          <c:extLst>
            <c:ext xmlns:c16="http://schemas.microsoft.com/office/drawing/2014/chart" uri="{C3380CC4-5D6E-409C-BE32-E72D297353CC}">
              <c16:uniqueId val="{00000002-506C-42BB-A423-B2960524F4EB}"/>
            </c:ext>
          </c:extLst>
        </c:ser>
        <c:ser>
          <c:idx val="4"/>
          <c:order val="3"/>
          <c:tx>
            <c:strRef>
              <c:f>Sheet1!$A$5</c:f>
              <c:strCache>
                <c:ptCount val="1"/>
                <c:pt idx="0">
                  <c:v>   cu 4 camere</c:v>
                </c:pt>
              </c:strCache>
            </c:strRef>
          </c:tx>
          <c:spPr>
            <a:solidFill>
              <a:srgbClr val="FFCC99"/>
            </a:solidFill>
            <a:ln w="12685">
              <a:solidFill>
                <a:srgbClr val="000000"/>
              </a:solidFill>
              <a:prstDash val="solid"/>
            </a:ln>
          </c:spPr>
          <c:invertIfNegative val="0"/>
          <c:cat>
            <c:strRef>
              <c:f>Sheet1!$B$1:$C$1</c:f>
              <c:strCache>
                <c:ptCount val="2"/>
                <c:pt idx="0">
                  <c:v>sem.I 2022</c:v>
                </c:pt>
                <c:pt idx="1">
                  <c:v>sem.I 2023</c:v>
                </c:pt>
              </c:strCache>
            </c:strRef>
          </c:cat>
          <c:val>
            <c:numRef>
              <c:f>Sheet1!$B$5:$C$5</c:f>
              <c:numCache>
                <c:formatCode>General</c:formatCode>
                <c:ptCount val="2"/>
                <c:pt idx="0">
                  <c:v>160</c:v>
                </c:pt>
                <c:pt idx="1">
                  <c:v>150</c:v>
                </c:pt>
              </c:numCache>
            </c:numRef>
          </c:val>
          <c:extLst>
            <c:ext xmlns:c16="http://schemas.microsoft.com/office/drawing/2014/chart" uri="{C3380CC4-5D6E-409C-BE32-E72D297353CC}">
              <c16:uniqueId val="{00000003-506C-42BB-A423-B2960524F4EB}"/>
            </c:ext>
          </c:extLst>
        </c:ser>
        <c:ser>
          <c:idx val="5"/>
          <c:order val="4"/>
          <c:tx>
            <c:strRef>
              <c:f>Sheet1!$A$6</c:f>
              <c:strCache>
                <c:ptCount val="1"/>
                <c:pt idx="0">
                  <c:v>   cu 5 camere şi peste</c:v>
                </c:pt>
              </c:strCache>
            </c:strRef>
          </c:tx>
          <c:spPr>
            <a:solidFill>
              <a:srgbClr val="FF8080"/>
            </a:solidFill>
            <a:ln w="12685">
              <a:solidFill>
                <a:srgbClr val="000000"/>
              </a:solidFill>
              <a:prstDash val="solid"/>
            </a:ln>
          </c:spPr>
          <c:invertIfNegative val="0"/>
          <c:cat>
            <c:strRef>
              <c:f>Sheet1!$B$1:$C$1</c:f>
              <c:strCache>
                <c:ptCount val="2"/>
                <c:pt idx="0">
                  <c:v>sem.I 2022</c:v>
                </c:pt>
                <c:pt idx="1">
                  <c:v>sem.I 2023</c:v>
                </c:pt>
              </c:strCache>
            </c:strRef>
          </c:cat>
          <c:val>
            <c:numRef>
              <c:f>Sheet1!$B$6:$C$6</c:f>
              <c:numCache>
                <c:formatCode>General</c:formatCode>
                <c:ptCount val="2"/>
                <c:pt idx="0">
                  <c:v>168</c:v>
                </c:pt>
                <c:pt idx="1">
                  <c:v>163</c:v>
                </c:pt>
              </c:numCache>
            </c:numRef>
          </c:val>
          <c:extLst>
            <c:ext xmlns:c16="http://schemas.microsoft.com/office/drawing/2014/chart" uri="{C3380CC4-5D6E-409C-BE32-E72D297353CC}">
              <c16:uniqueId val="{00000004-506C-42BB-A423-B2960524F4EB}"/>
            </c:ext>
          </c:extLst>
        </c:ser>
        <c:dLbls>
          <c:showLegendKey val="0"/>
          <c:showVal val="0"/>
          <c:showCatName val="0"/>
          <c:showSerName val="0"/>
          <c:showPercent val="0"/>
          <c:showBubbleSize val="0"/>
        </c:dLbls>
        <c:gapWidth val="150"/>
        <c:gapDepth val="0"/>
        <c:shape val="box"/>
        <c:axId val="214399616"/>
        <c:axId val="214311296"/>
        <c:axId val="0"/>
      </c:bar3DChart>
      <c:catAx>
        <c:axId val="2143996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en-US"/>
          </a:p>
        </c:txPr>
        <c:crossAx val="214311296"/>
        <c:crosses val="autoZero"/>
        <c:auto val="1"/>
        <c:lblAlgn val="ctr"/>
        <c:lblOffset val="100"/>
        <c:tickLblSkip val="1"/>
        <c:tickMarkSkip val="1"/>
        <c:noMultiLvlLbl val="0"/>
      </c:catAx>
      <c:valAx>
        <c:axId val="214311296"/>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en-US"/>
          </a:p>
        </c:txPr>
        <c:crossAx val="214399616"/>
        <c:crosses val="autoZero"/>
        <c:crossBetween val="between"/>
      </c:valAx>
      <c:spPr>
        <a:noFill/>
        <a:ln w="25370">
          <a:noFill/>
        </a:ln>
      </c:spPr>
    </c:plotArea>
    <c:legend>
      <c:legendPos val="b"/>
      <c:layout>
        <c:manualLayout>
          <c:xMode val="edge"/>
          <c:yMode val="edge"/>
          <c:x val="0.11451942740286299"/>
          <c:y val="0.89397590361445778"/>
          <c:w val="0.85889570552147243"/>
          <c:h val="9.1566265060240959E-2"/>
        </c:manualLayout>
      </c:layout>
      <c:overlay val="0"/>
      <c:spPr>
        <a:noFill/>
        <a:ln w="25370">
          <a:noFill/>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2" b="0" i="0" u="none" strike="noStrike" baseline="0">
                <a:solidFill>
                  <a:srgbClr val="000000"/>
                </a:solidFill>
                <a:latin typeface="Arial"/>
                <a:ea typeface="Arial"/>
                <a:cs typeface="Arial"/>
              </a:defRPr>
            </a:pPr>
            <a:r>
              <a:rPr lang="en-US"/>
              <a:t>FEMININ</a:t>
            </a:r>
          </a:p>
        </c:rich>
      </c:tx>
      <c:layout>
        <c:manualLayout>
          <c:xMode val="edge"/>
          <c:yMode val="edge"/>
          <c:x val="0.42950819672131146"/>
          <c:y val="2.056555269922879E-2"/>
        </c:manualLayout>
      </c:layout>
      <c:overlay val="0"/>
      <c:spPr>
        <a:noFill/>
        <a:ln w="24385">
          <a:noFill/>
        </a:ln>
      </c:spPr>
    </c:title>
    <c:autoTitleDeleted val="0"/>
    <c:plotArea>
      <c:layout>
        <c:manualLayout>
          <c:layoutTarget val="inner"/>
          <c:xMode val="edge"/>
          <c:yMode val="edge"/>
          <c:x val="6.2295081967213117E-2"/>
          <c:y val="0.12082262210796915"/>
          <c:w val="0.89836065573770496"/>
          <c:h val="0.74293059125964012"/>
        </c:manualLayout>
      </c:layout>
      <c:barChart>
        <c:barDir val="bar"/>
        <c:grouping val="clustered"/>
        <c:varyColors val="0"/>
        <c:ser>
          <c:idx val="0"/>
          <c:order val="0"/>
          <c:tx>
            <c:strRef>
              <c:f>Sheet1!$A$2</c:f>
              <c:strCache>
                <c:ptCount val="1"/>
                <c:pt idx="0">
                  <c:v>2000</c:v>
                </c:pt>
              </c:strCache>
            </c:strRef>
          </c:tx>
          <c:spPr>
            <a:solidFill>
              <a:srgbClr val="FF0000"/>
            </a:solidFill>
            <a:ln w="24385">
              <a:noFill/>
            </a:ln>
          </c:spPr>
          <c:invertIfNegative val="0"/>
          <c:cat>
            <c:strRef>
              <c:f>Sheet1!$B$1:$CZ$1</c:f>
              <c:strCache>
                <c:ptCount val="99"/>
                <c:pt idx="0">
                  <c:v>0</c:v>
                </c:pt>
                <c:pt idx="1">
                  <c:v>  </c:v>
                </c:pt>
                <c:pt idx="2">
                  <c:v> </c:v>
                </c:pt>
                <c:pt idx="3">
                  <c:v> </c:v>
                </c:pt>
                <c:pt idx="4">
                  <c:v> </c:v>
                </c:pt>
                <c:pt idx="5">
                  <c:v> </c:v>
                </c:pt>
                <c:pt idx="6">
                  <c:v> </c:v>
                </c:pt>
                <c:pt idx="7">
                  <c:v> </c:v>
                </c:pt>
                <c:pt idx="8">
                  <c:v> </c:v>
                </c:pt>
                <c:pt idx="9">
                  <c:v> </c:v>
                </c:pt>
                <c:pt idx="10">
                  <c:v>10</c:v>
                </c:pt>
                <c:pt idx="11">
                  <c:v> </c:v>
                </c:pt>
                <c:pt idx="12">
                  <c:v> </c:v>
                </c:pt>
                <c:pt idx="13">
                  <c:v> </c:v>
                </c:pt>
                <c:pt idx="14">
                  <c:v> </c:v>
                </c:pt>
                <c:pt idx="15">
                  <c:v> </c:v>
                </c:pt>
                <c:pt idx="16">
                  <c:v> </c:v>
                </c:pt>
                <c:pt idx="17">
                  <c:v> </c:v>
                </c:pt>
                <c:pt idx="18">
                  <c:v> </c:v>
                </c:pt>
                <c:pt idx="19">
                  <c:v> </c:v>
                </c:pt>
                <c:pt idx="20">
                  <c:v>20</c:v>
                </c:pt>
                <c:pt idx="21">
                  <c:v> </c:v>
                </c:pt>
                <c:pt idx="22">
                  <c:v> </c:v>
                </c:pt>
                <c:pt idx="23">
                  <c:v> </c:v>
                </c:pt>
                <c:pt idx="24">
                  <c:v> </c:v>
                </c:pt>
                <c:pt idx="25">
                  <c:v> </c:v>
                </c:pt>
                <c:pt idx="26">
                  <c:v> </c:v>
                </c:pt>
                <c:pt idx="27">
                  <c:v> </c:v>
                </c:pt>
                <c:pt idx="28">
                  <c:v> </c:v>
                </c:pt>
                <c:pt idx="29">
                  <c:v> </c:v>
                </c:pt>
                <c:pt idx="30">
                  <c:v>30</c:v>
                </c:pt>
                <c:pt idx="31">
                  <c:v> </c:v>
                </c:pt>
                <c:pt idx="32">
                  <c:v> </c:v>
                </c:pt>
                <c:pt idx="33">
                  <c:v> </c:v>
                </c:pt>
                <c:pt idx="34">
                  <c:v> </c:v>
                </c:pt>
                <c:pt idx="35">
                  <c:v> </c:v>
                </c:pt>
                <c:pt idx="36">
                  <c:v> </c:v>
                </c:pt>
                <c:pt idx="37">
                  <c:v> </c:v>
                </c:pt>
                <c:pt idx="38">
                  <c:v> </c:v>
                </c:pt>
                <c:pt idx="39">
                  <c:v> </c:v>
                </c:pt>
                <c:pt idx="40">
                  <c:v>40</c:v>
                </c:pt>
                <c:pt idx="41">
                  <c:v> </c:v>
                </c:pt>
                <c:pt idx="42">
                  <c:v> </c:v>
                </c:pt>
                <c:pt idx="43">
                  <c:v> </c:v>
                </c:pt>
                <c:pt idx="44">
                  <c:v> </c:v>
                </c:pt>
                <c:pt idx="45">
                  <c:v> </c:v>
                </c:pt>
                <c:pt idx="46">
                  <c:v> </c:v>
                </c:pt>
                <c:pt idx="47">
                  <c:v> </c:v>
                </c:pt>
                <c:pt idx="48">
                  <c:v> </c:v>
                </c:pt>
                <c:pt idx="49">
                  <c:v> </c:v>
                </c:pt>
                <c:pt idx="50">
                  <c:v>50</c:v>
                </c:pt>
                <c:pt idx="51">
                  <c:v> </c:v>
                </c:pt>
                <c:pt idx="52">
                  <c:v> </c:v>
                </c:pt>
                <c:pt idx="53">
                  <c:v> </c:v>
                </c:pt>
                <c:pt idx="54">
                  <c:v> </c:v>
                </c:pt>
                <c:pt idx="55">
                  <c:v> </c:v>
                </c:pt>
                <c:pt idx="56">
                  <c:v> </c:v>
                </c:pt>
                <c:pt idx="57">
                  <c:v> </c:v>
                </c:pt>
                <c:pt idx="58">
                  <c:v> </c:v>
                </c:pt>
                <c:pt idx="59">
                  <c:v> </c:v>
                </c:pt>
                <c:pt idx="60">
                  <c:v>60</c:v>
                </c:pt>
                <c:pt idx="61">
                  <c:v> </c:v>
                </c:pt>
                <c:pt idx="62">
                  <c:v> </c:v>
                </c:pt>
                <c:pt idx="63">
                  <c:v> </c:v>
                </c:pt>
                <c:pt idx="64">
                  <c:v> </c:v>
                </c:pt>
                <c:pt idx="65">
                  <c:v> </c:v>
                </c:pt>
                <c:pt idx="66">
                  <c:v> </c:v>
                </c:pt>
                <c:pt idx="67">
                  <c:v> </c:v>
                </c:pt>
                <c:pt idx="68">
                  <c:v> </c:v>
                </c:pt>
                <c:pt idx="69">
                  <c:v> </c:v>
                </c:pt>
                <c:pt idx="70">
                  <c:v>70</c:v>
                </c:pt>
                <c:pt idx="71">
                  <c:v> </c:v>
                </c:pt>
                <c:pt idx="72">
                  <c:v> </c:v>
                </c:pt>
                <c:pt idx="73">
                  <c:v> </c:v>
                </c:pt>
                <c:pt idx="74">
                  <c:v> </c:v>
                </c:pt>
                <c:pt idx="75">
                  <c:v>  </c:v>
                </c:pt>
                <c:pt idx="76">
                  <c:v> </c:v>
                </c:pt>
                <c:pt idx="77">
                  <c:v> </c:v>
                </c:pt>
                <c:pt idx="78">
                  <c:v> </c:v>
                </c:pt>
                <c:pt idx="79">
                  <c:v> </c:v>
                </c:pt>
                <c:pt idx="80">
                  <c:v>80</c:v>
                </c:pt>
                <c:pt idx="81">
                  <c:v> </c:v>
                </c:pt>
                <c:pt idx="82">
                  <c:v> </c:v>
                </c:pt>
                <c:pt idx="83">
                  <c:v> </c:v>
                </c:pt>
                <c:pt idx="84">
                  <c:v> </c:v>
                </c:pt>
                <c:pt idx="85">
                  <c:v> </c:v>
                </c:pt>
                <c:pt idx="86">
                  <c:v> </c:v>
                </c:pt>
                <c:pt idx="87">
                  <c:v> </c:v>
                </c:pt>
                <c:pt idx="88">
                  <c:v> </c:v>
                </c:pt>
                <c:pt idx="89">
                  <c:v> </c:v>
                </c:pt>
                <c:pt idx="90">
                  <c:v> </c:v>
                </c:pt>
                <c:pt idx="91">
                  <c:v>90</c:v>
                </c:pt>
                <c:pt idx="92">
                  <c:v> </c:v>
                </c:pt>
                <c:pt idx="93">
                  <c:v> </c:v>
                </c:pt>
                <c:pt idx="94">
                  <c:v> </c:v>
                </c:pt>
                <c:pt idx="95">
                  <c:v> </c:v>
                </c:pt>
                <c:pt idx="96">
                  <c:v> </c:v>
                </c:pt>
                <c:pt idx="97">
                  <c:v> </c:v>
                </c:pt>
                <c:pt idx="98">
                  <c:v> </c:v>
                </c:pt>
              </c:strCache>
            </c:strRef>
          </c:cat>
          <c:val>
            <c:numRef>
              <c:f>Sheet1!$B$2:$CZ$2</c:f>
              <c:numCache>
                <c:formatCode>General</c:formatCode>
                <c:ptCount val="103"/>
                <c:pt idx="0">
                  <c:v>3770</c:v>
                </c:pt>
                <c:pt idx="1">
                  <c:v>3861</c:v>
                </c:pt>
                <c:pt idx="2">
                  <c:v>3899</c:v>
                </c:pt>
                <c:pt idx="3">
                  <c:v>3905</c:v>
                </c:pt>
                <c:pt idx="4">
                  <c:v>3950</c:v>
                </c:pt>
                <c:pt idx="5">
                  <c:v>4231</c:v>
                </c:pt>
                <c:pt idx="6">
                  <c:v>4380</c:v>
                </c:pt>
                <c:pt idx="7">
                  <c:v>4404</c:v>
                </c:pt>
                <c:pt idx="8">
                  <c:v>4556</c:v>
                </c:pt>
                <c:pt idx="9">
                  <c:v>5067</c:v>
                </c:pt>
                <c:pt idx="10">
                  <c:v>6401</c:v>
                </c:pt>
                <c:pt idx="11">
                  <c:v>6538</c:v>
                </c:pt>
                <c:pt idx="12">
                  <c:v>6775</c:v>
                </c:pt>
                <c:pt idx="13">
                  <c:v>6471</c:v>
                </c:pt>
                <c:pt idx="14">
                  <c:v>5880</c:v>
                </c:pt>
                <c:pt idx="15">
                  <c:v>5875</c:v>
                </c:pt>
                <c:pt idx="16">
                  <c:v>5319</c:v>
                </c:pt>
                <c:pt idx="17">
                  <c:v>5529</c:v>
                </c:pt>
                <c:pt idx="18">
                  <c:v>6453</c:v>
                </c:pt>
                <c:pt idx="19">
                  <c:v>6606</c:v>
                </c:pt>
                <c:pt idx="20">
                  <c:v>6815</c:v>
                </c:pt>
                <c:pt idx="21">
                  <c:v>6835</c:v>
                </c:pt>
                <c:pt idx="22">
                  <c:v>6873</c:v>
                </c:pt>
                <c:pt idx="23">
                  <c:v>6908</c:v>
                </c:pt>
                <c:pt idx="24">
                  <c:v>6894</c:v>
                </c:pt>
                <c:pt idx="25">
                  <c:v>6932</c:v>
                </c:pt>
                <c:pt idx="26">
                  <c:v>6323</c:v>
                </c:pt>
                <c:pt idx="27">
                  <c:v>6784</c:v>
                </c:pt>
                <c:pt idx="28">
                  <c:v>7073</c:v>
                </c:pt>
                <c:pt idx="29">
                  <c:v>7385</c:v>
                </c:pt>
                <c:pt idx="30">
                  <c:v>8009</c:v>
                </c:pt>
                <c:pt idx="31">
                  <c:v>9401</c:v>
                </c:pt>
                <c:pt idx="32">
                  <c:v>9931</c:v>
                </c:pt>
                <c:pt idx="33">
                  <c:v>4175</c:v>
                </c:pt>
                <c:pt idx="34">
                  <c:v>4351</c:v>
                </c:pt>
                <c:pt idx="35">
                  <c:v>4487</c:v>
                </c:pt>
                <c:pt idx="36">
                  <c:v>4460</c:v>
                </c:pt>
                <c:pt idx="37">
                  <c:v>4865</c:v>
                </c:pt>
                <c:pt idx="38">
                  <c:v>5148</c:v>
                </c:pt>
                <c:pt idx="39">
                  <c:v>5329</c:v>
                </c:pt>
                <c:pt idx="40">
                  <c:v>5738</c:v>
                </c:pt>
                <c:pt idx="41">
                  <c:v>5787</c:v>
                </c:pt>
                <c:pt idx="42">
                  <c:v>5981</c:v>
                </c:pt>
                <c:pt idx="43">
                  <c:v>6294</c:v>
                </c:pt>
                <c:pt idx="44">
                  <c:v>6717</c:v>
                </c:pt>
                <c:pt idx="45">
                  <c:v>6213</c:v>
                </c:pt>
                <c:pt idx="46">
                  <c:v>6263</c:v>
                </c:pt>
                <c:pt idx="47">
                  <c:v>5927</c:v>
                </c:pt>
                <c:pt idx="48">
                  <c:v>5763</c:v>
                </c:pt>
                <c:pt idx="49">
                  <c:v>6000</c:v>
                </c:pt>
                <c:pt idx="50">
                  <c:v>6487</c:v>
                </c:pt>
                <c:pt idx="51">
                  <c:v>4780</c:v>
                </c:pt>
                <c:pt idx="52">
                  <c:v>4483</c:v>
                </c:pt>
                <c:pt idx="53">
                  <c:v>4844</c:v>
                </c:pt>
                <c:pt idx="54">
                  <c:v>4323</c:v>
                </c:pt>
                <c:pt idx="55">
                  <c:v>4745</c:v>
                </c:pt>
                <c:pt idx="56">
                  <c:v>4096</c:v>
                </c:pt>
                <c:pt idx="57">
                  <c:v>4201</c:v>
                </c:pt>
                <c:pt idx="58">
                  <c:v>4582</c:v>
                </c:pt>
                <c:pt idx="59">
                  <c:v>5052</c:v>
                </c:pt>
                <c:pt idx="60">
                  <c:v>5884</c:v>
                </c:pt>
                <c:pt idx="61">
                  <c:v>5644</c:v>
                </c:pt>
                <c:pt idx="62">
                  <c:v>5518</c:v>
                </c:pt>
                <c:pt idx="63">
                  <c:v>5596</c:v>
                </c:pt>
                <c:pt idx="64">
                  <c:v>5479</c:v>
                </c:pt>
                <c:pt idx="65">
                  <c:v>5480</c:v>
                </c:pt>
                <c:pt idx="66">
                  <c:v>5001</c:v>
                </c:pt>
                <c:pt idx="67">
                  <c:v>5408</c:v>
                </c:pt>
                <c:pt idx="68">
                  <c:v>4678</c:v>
                </c:pt>
                <c:pt idx="69">
                  <c:v>4587</c:v>
                </c:pt>
                <c:pt idx="70">
                  <c:v>4388</c:v>
                </c:pt>
                <c:pt idx="71">
                  <c:v>4188</c:v>
                </c:pt>
                <c:pt idx="72">
                  <c:v>4056</c:v>
                </c:pt>
                <c:pt idx="73">
                  <c:v>3746</c:v>
                </c:pt>
                <c:pt idx="74">
                  <c:v>3556</c:v>
                </c:pt>
                <c:pt idx="75">
                  <c:v>3212</c:v>
                </c:pt>
                <c:pt idx="76">
                  <c:v>2927</c:v>
                </c:pt>
                <c:pt idx="77">
                  <c:v>2753</c:v>
                </c:pt>
                <c:pt idx="78">
                  <c:v>2482</c:v>
                </c:pt>
                <c:pt idx="79">
                  <c:v>1926</c:v>
                </c:pt>
                <c:pt idx="80">
                  <c:v>1946</c:v>
                </c:pt>
                <c:pt idx="81">
                  <c:v>616</c:v>
                </c:pt>
                <c:pt idx="82">
                  <c:v>824</c:v>
                </c:pt>
                <c:pt idx="83">
                  <c:v>1271</c:v>
                </c:pt>
                <c:pt idx="84">
                  <c:v>1308</c:v>
                </c:pt>
                <c:pt idx="85">
                  <c:v>1127</c:v>
                </c:pt>
                <c:pt idx="86">
                  <c:v>1291</c:v>
                </c:pt>
                <c:pt idx="87">
                  <c:v>1001</c:v>
                </c:pt>
                <c:pt idx="88">
                  <c:v>493</c:v>
                </c:pt>
                <c:pt idx="89">
                  <c:v>296</c:v>
                </c:pt>
                <c:pt idx="90">
                  <c:v>263</c:v>
                </c:pt>
                <c:pt idx="91">
                  <c:v>254</c:v>
                </c:pt>
                <c:pt idx="92">
                  <c:v>199</c:v>
                </c:pt>
                <c:pt idx="93">
                  <c:v>197</c:v>
                </c:pt>
                <c:pt idx="94">
                  <c:v>148</c:v>
                </c:pt>
                <c:pt idx="95">
                  <c:v>39</c:v>
                </c:pt>
                <c:pt idx="96">
                  <c:v>20</c:v>
                </c:pt>
                <c:pt idx="97">
                  <c:v>16</c:v>
                </c:pt>
                <c:pt idx="98">
                  <c:v>8</c:v>
                </c:pt>
                <c:pt idx="99">
                  <c:v>4</c:v>
                </c:pt>
                <c:pt idx="100">
                  <c:v>3</c:v>
                </c:pt>
                <c:pt idx="101">
                  <c:v>2</c:v>
                </c:pt>
                <c:pt idx="102">
                  <c:v>2</c:v>
                </c:pt>
              </c:numCache>
            </c:numRef>
          </c:val>
          <c:extLst>
            <c:ext xmlns:c16="http://schemas.microsoft.com/office/drawing/2014/chart" uri="{C3380CC4-5D6E-409C-BE32-E72D297353CC}">
              <c16:uniqueId val="{00000000-1A55-4879-91F3-1BF2592CA853}"/>
            </c:ext>
          </c:extLst>
        </c:ser>
        <c:ser>
          <c:idx val="1"/>
          <c:order val="1"/>
          <c:tx>
            <c:strRef>
              <c:f>Sheet1!$A$3</c:f>
              <c:strCache>
                <c:ptCount val="1"/>
                <c:pt idx="0">
                  <c:v>2023</c:v>
                </c:pt>
              </c:strCache>
            </c:strRef>
          </c:tx>
          <c:spPr>
            <a:noFill/>
            <a:ln w="3048">
              <a:solidFill>
                <a:srgbClr val="800000"/>
              </a:solidFill>
              <a:prstDash val="solid"/>
            </a:ln>
          </c:spPr>
          <c:invertIfNegative val="0"/>
          <c:cat>
            <c:strRef>
              <c:f>Sheet1!$B$1:$CZ$1</c:f>
              <c:strCache>
                <c:ptCount val="99"/>
                <c:pt idx="0">
                  <c:v>0</c:v>
                </c:pt>
                <c:pt idx="1">
                  <c:v>  </c:v>
                </c:pt>
                <c:pt idx="2">
                  <c:v> </c:v>
                </c:pt>
                <c:pt idx="3">
                  <c:v> </c:v>
                </c:pt>
                <c:pt idx="4">
                  <c:v> </c:v>
                </c:pt>
                <c:pt idx="5">
                  <c:v> </c:v>
                </c:pt>
                <c:pt idx="6">
                  <c:v> </c:v>
                </c:pt>
                <c:pt idx="7">
                  <c:v> </c:v>
                </c:pt>
                <c:pt idx="8">
                  <c:v> </c:v>
                </c:pt>
                <c:pt idx="9">
                  <c:v> </c:v>
                </c:pt>
                <c:pt idx="10">
                  <c:v>10</c:v>
                </c:pt>
                <c:pt idx="11">
                  <c:v> </c:v>
                </c:pt>
                <c:pt idx="12">
                  <c:v> </c:v>
                </c:pt>
                <c:pt idx="13">
                  <c:v> </c:v>
                </c:pt>
                <c:pt idx="14">
                  <c:v> </c:v>
                </c:pt>
                <c:pt idx="15">
                  <c:v> </c:v>
                </c:pt>
                <c:pt idx="16">
                  <c:v> </c:v>
                </c:pt>
                <c:pt idx="17">
                  <c:v> </c:v>
                </c:pt>
                <c:pt idx="18">
                  <c:v> </c:v>
                </c:pt>
                <c:pt idx="19">
                  <c:v> </c:v>
                </c:pt>
                <c:pt idx="20">
                  <c:v>20</c:v>
                </c:pt>
                <c:pt idx="21">
                  <c:v> </c:v>
                </c:pt>
                <c:pt idx="22">
                  <c:v> </c:v>
                </c:pt>
                <c:pt idx="23">
                  <c:v> </c:v>
                </c:pt>
                <c:pt idx="24">
                  <c:v> </c:v>
                </c:pt>
                <c:pt idx="25">
                  <c:v> </c:v>
                </c:pt>
                <c:pt idx="26">
                  <c:v> </c:v>
                </c:pt>
                <c:pt idx="27">
                  <c:v> </c:v>
                </c:pt>
                <c:pt idx="28">
                  <c:v> </c:v>
                </c:pt>
                <c:pt idx="29">
                  <c:v> </c:v>
                </c:pt>
                <c:pt idx="30">
                  <c:v>30</c:v>
                </c:pt>
                <c:pt idx="31">
                  <c:v> </c:v>
                </c:pt>
                <c:pt idx="32">
                  <c:v> </c:v>
                </c:pt>
                <c:pt idx="33">
                  <c:v> </c:v>
                </c:pt>
                <c:pt idx="34">
                  <c:v> </c:v>
                </c:pt>
                <c:pt idx="35">
                  <c:v> </c:v>
                </c:pt>
                <c:pt idx="36">
                  <c:v> </c:v>
                </c:pt>
                <c:pt idx="37">
                  <c:v> </c:v>
                </c:pt>
                <c:pt idx="38">
                  <c:v> </c:v>
                </c:pt>
                <c:pt idx="39">
                  <c:v> </c:v>
                </c:pt>
                <c:pt idx="40">
                  <c:v>40</c:v>
                </c:pt>
                <c:pt idx="41">
                  <c:v> </c:v>
                </c:pt>
                <c:pt idx="42">
                  <c:v> </c:v>
                </c:pt>
                <c:pt idx="43">
                  <c:v> </c:v>
                </c:pt>
                <c:pt idx="44">
                  <c:v> </c:v>
                </c:pt>
                <c:pt idx="45">
                  <c:v> </c:v>
                </c:pt>
                <c:pt idx="46">
                  <c:v> </c:v>
                </c:pt>
                <c:pt idx="47">
                  <c:v> </c:v>
                </c:pt>
                <c:pt idx="48">
                  <c:v> </c:v>
                </c:pt>
                <c:pt idx="49">
                  <c:v> </c:v>
                </c:pt>
                <c:pt idx="50">
                  <c:v>50</c:v>
                </c:pt>
                <c:pt idx="51">
                  <c:v> </c:v>
                </c:pt>
                <c:pt idx="52">
                  <c:v> </c:v>
                </c:pt>
                <c:pt idx="53">
                  <c:v> </c:v>
                </c:pt>
                <c:pt idx="54">
                  <c:v> </c:v>
                </c:pt>
                <c:pt idx="55">
                  <c:v> </c:v>
                </c:pt>
                <c:pt idx="56">
                  <c:v> </c:v>
                </c:pt>
                <c:pt idx="57">
                  <c:v> </c:v>
                </c:pt>
                <c:pt idx="58">
                  <c:v> </c:v>
                </c:pt>
                <c:pt idx="59">
                  <c:v> </c:v>
                </c:pt>
                <c:pt idx="60">
                  <c:v>60</c:v>
                </c:pt>
                <c:pt idx="61">
                  <c:v> </c:v>
                </c:pt>
                <c:pt idx="62">
                  <c:v> </c:v>
                </c:pt>
                <c:pt idx="63">
                  <c:v> </c:v>
                </c:pt>
                <c:pt idx="64">
                  <c:v> </c:v>
                </c:pt>
                <c:pt idx="65">
                  <c:v> </c:v>
                </c:pt>
                <c:pt idx="66">
                  <c:v> </c:v>
                </c:pt>
                <c:pt idx="67">
                  <c:v> </c:v>
                </c:pt>
                <c:pt idx="68">
                  <c:v> </c:v>
                </c:pt>
                <c:pt idx="69">
                  <c:v> </c:v>
                </c:pt>
                <c:pt idx="70">
                  <c:v>70</c:v>
                </c:pt>
                <c:pt idx="71">
                  <c:v> </c:v>
                </c:pt>
                <c:pt idx="72">
                  <c:v> </c:v>
                </c:pt>
                <c:pt idx="73">
                  <c:v> </c:v>
                </c:pt>
                <c:pt idx="74">
                  <c:v> </c:v>
                </c:pt>
                <c:pt idx="75">
                  <c:v>  </c:v>
                </c:pt>
                <c:pt idx="76">
                  <c:v> </c:v>
                </c:pt>
                <c:pt idx="77">
                  <c:v> </c:v>
                </c:pt>
                <c:pt idx="78">
                  <c:v> </c:v>
                </c:pt>
                <c:pt idx="79">
                  <c:v> </c:v>
                </c:pt>
                <c:pt idx="80">
                  <c:v>80</c:v>
                </c:pt>
                <c:pt idx="81">
                  <c:v> </c:v>
                </c:pt>
                <c:pt idx="82">
                  <c:v> </c:v>
                </c:pt>
                <c:pt idx="83">
                  <c:v> </c:v>
                </c:pt>
                <c:pt idx="84">
                  <c:v> </c:v>
                </c:pt>
                <c:pt idx="85">
                  <c:v> </c:v>
                </c:pt>
                <c:pt idx="86">
                  <c:v> </c:v>
                </c:pt>
                <c:pt idx="87">
                  <c:v> </c:v>
                </c:pt>
                <c:pt idx="88">
                  <c:v> </c:v>
                </c:pt>
                <c:pt idx="89">
                  <c:v> </c:v>
                </c:pt>
                <c:pt idx="90">
                  <c:v> </c:v>
                </c:pt>
                <c:pt idx="91">
                  <c:v>90</c:v>
                </c:pt>
                <c:pt idx="92">
                  <c:v> </c:v>
                </c:pt>
                <c:pt idx="93">
                  <c:v> </c:v>
                </c:pt>
                <c:pt idx="94">
                  <c:v> </c:v>
                </c:pt>
                <c:pt idx="95">
                  <c:v> </c:v>
                </c:pt>
                <c:pt idx="96">
                  <c:v> </c:v>
                </c:pt>
                <c:pt idx="97">
                  <c:v> </c:v>
                </c:pt>
                <c:pt idx="98">
                  <c:v> </c:v>
                </c:pt>
              </c:strCache>
            </c:strRef>
          </c:cat>
          <c:val>
            <c:numRef>
              <c:f>Sheet1!$B$3:$CZ$3</c:f>
              <c:numCache>
                <c:formatCode>General</c:formatCode>
                <c:ptCount val="103"/>
                <c:pt idx="0">
                  <c:v>2549</c:v>
                </c:pt>
                <c:pt idx="1">
                  <c:v>2988</c:v>
                </c:pt>
                <c:pt idx="2">
                  <c:v>2901</c:v>
                </c:pt>
                <c:pt idx="3">
                  <c:v>3182</c:v>
                </c:pt>
                <c:pt idx="4">
                  <c:v>3311</c:v>
                </c:pt>
                <c:pt idx="5">
                  <c:v>3272</c:v>
                </c:pt>
                <c:pt idx="6">
                  <c:v>3232</c:v>
                </c:pt>
                <c:pt idx="7">
                  <c:v>3347</c:v>
                </c:pt>
                <c:pt idx="8">
                  <c:v>3195</c:v>
                </c:pt>
                <c:pt idx="9">
                  <c:v>3090</c:v>
                </c:pt>
                <c:pt idx="10">
                  <c:v>3194</c:v>
                </c:pt>
                <c:pt idx="11">
                  <c:v>3189</c:v>
                </c:pt>
                <c:pt idx="12">
                  <c:v>3604</c:v>
                </c:pt>
                <c:pt idx="13">
                  <c:v>3985</c:v>
                </c:pt>
                <c:pt idx="14">
                  <c:v>3850</c:v>
                </c:pt>
                <c:pt idx="15">
                  <c:v>3888</c:v>
                </c:pt>
                <c:pt idx="16">
                  <c:v>4066</c:v>
                </c:pt>
                <c:pt idx="17">
                  <c:v>4199</c:v>
                </c:pt>
                <c:pt idx="18">
                  <c:v>3805</c:v>
                </c:pt>
                <c:pt idx="19">
                  <c:v>3560</c:v>
                </c:pt>
                <c:pt idx="20">
                  <c:v>3743</c:v>
                </c:pt>
                <c:pt idx="21">
                  <c:v>3628</c:v>
                </c:pt>
                <c:pt idx="22">
                  <c:v>3912</c:v>
                </c:pt>
                <c:pt idx="23">
                  <c:v>3679</c:v>
                </c:pt>
                <c:pt idx="24">
                  <c:v>3700</c:v>
                </c:pt>
                <c:pt idx="25">
                  <c:v>3627</c:v>
                </c:pt>
                <c:pt idx="26">
                  <c:v>3634</c:v>
                </c:pt>
                <c:pt idx="27">
                  <c:v>3606</c:v>
                </c:pt>
                <c:pt idx="28">
                  <c:v>3798</c:v>
                </c:pt>
                <c:pt idx="29">
                  <c:v>3919</c:v>
                </c:pt>
                <c:pt idx="30">
                  <c:v>3903</c:v>
                </c:pt>
                <c:pt idx="31">
                  <c:v>3993</c:v>
                </c:pt>
                <c:pt idx="32">
                  <c:v>4489</c:v>
                </c:pt>
                <c:pt idx="33">
                  <c:v>5651</c:v>
                </c:pt>
                <c:pt idx="34">
                  <c:v>5722</c:v>
                </c:pt>
                <c:pt idx="35">
                  <c:v>5957</c:v>
                </c:pt>
                <c:pt idx="36">
                  <c:v>5627</c:v>
                </c:pt>
                <c:pt idx="37">
                  <c:v>5226</c:v>
                </c:pt>
                <c:pt idx="38">
                  <c:v>5122</c:v>
                </c:pt>
                <c:pt idx="39">
                  <c:v>4701</c:v>
                </c:pt>
                <c:pt idx="40">
                  <c:v>4959</c:v>
                </c:pt>
                <c:pt idx="41">
                  <c:v>5827</c:v>
                </c:pt>
                <c:pt idx="42">
                  <c:v>6040</c:v>
                </c:pt>
                <c:pt idx="43">
                  <c:v>6262</c:v>
                </c:pt>
                <c:pt idx="44">
                  <c:v>6281</c:v>
                </c:pt>
                <c:pt idx="45">
                  <c:v>6341</c:v>
                </c:pt>
                <c:pt idx="46">
                  <c:v>6438</c:v>
                </c:pt>
                <c:pt idx="47">
                  <c:v>6425</c:v>
                </c:pt>
                <c:pt idx="48">
                  <c:v>6513</c:v>
                </c:pt>
                <c:pt idx="49">
                  <c:v>5986</c:v>
                </c:pt>
                <c:pt idx="50">
                  <c:v>6454</c:v>
                </c:pt>
                <c:pt idx="51">
                  <c:v>6783</c:v>
                </c:pt>
                <c:pt idx="52">
                  <c:v>6988</c:v>
                </c:pt>
                <c:pt idx="53">
                  <c:v>7579</c:v>
                </c:pt>
                <c:pt idx="54">
                  <c:v>8864</c:v>
                </c:pt>
                <c:pt idx="55">
                  <c:v>9367</c:v>
                </c:pt>
                <c:pt idx="56">
                  <c:v>3958</c:v>
                </c:pt>
                <c:pt idx="57">
                  <c:v>4088</c:v>
                </c:pt>
                <c:pt idx="58">
                  <c:v>4199</c:v>
                </c:pt>
                <c:pt idx="59">
                  <c:v>4128</c:v>
                </c:pt>
                <c:pt idx="60">
                  <c:v>4520</c:v>
                </c:pt>
                <c:pt idx="61">
                  <c:v>4720</c:v>
                </c:pt>
                <c:pt idx="62">
                  <c:v>4842</c:v>
                </c:pt>
                <c:pt idx="63">
                  <c:v>5118</c:v>
                </c:pt>
                <c:pt idx="64">
                  <c:v>5174</c:v>
                </c:pt>
                <c:pt idx="65">
                  <c:v>5325</c:v>
                </c:pt>
                <c:pt idx="66">
                  <c:v>5498</c:v>
                </c:pt>
                <c:pt idx="67">
                  <c:v>5806</c:v>
                </c:pt>
                <c:pt idx="68">
                  <c:v>5268</c:v>
                </c:pt>
                <c:pt idx="69">
                  <c:v>5323</c:v>
                </c:pt>
                <c:pt idx="70">
                  <c:v>4900</c:v>
                </c:pt>
                <c:pt idx="71">
                  <c:v>4653</c:v>
                </c:pt>
                <c:pt idx="72">
                  <c:v>4735</c:v>
                </c:pt>
                <c:pt idx="73">
                  <c:v>5058</c:v>
                </c:pt>
                <c:pt idx="74">
                  <c:v>3594</c:v>
                </c:pt>
                <c:pt idx="75">
                  <c:v>3303</c:v>
                </c:pt>
                <c:pt idx="76">
                  <c:v>3461</c:v>
                </c:pt>
                <c:pt idx="77">
                  <c:v>2922</c:v>
                </c:pt>
                <c:pt idx="78">
                  <c:v>3088</c:v>
                </c:pt>
                <c:pt idx="79">
                  <c:v>2530</c:v>
                </c:pt>
                <c:pt idx="80">
                  <c:v>2513</c:v>
                </c:pt>
                <c:pt idx="81">
                  <c:v>2595</c:v>
                </c:pt>
                <c:pt idx="82">
                  <c:v>2662</c:v>
                </c:pt>
                <c:pt idx="83">
                  <c:v>2840</c:v>
                </c:pt>
                <c:pt idx="84">
                  <c:v>2519</c:v>
                </c:pt>
                <c:pt idx="85">
                  <c:v>2500</c:v>
                </c:pt>
                <c:pt idx="86">
                  <c:v>2412</c:v>
                </c:pt>
                <c:pt idx="87">
                  <c:v>2245</c:v>
                </c:pt>
                <c:pt idx="88">
                  <c:v>1316</c:v>
                </c:pt>
                <c:pt idx="89">
                  <c:v>814</c:v>
                </c:pt>
                <c:pt idx="90">
                  <c:v>541</c:v>
                </c:pt>
                <c:pt idx="91">
                  <c:v>438</c:v>
                </c:pt>
                <c:pt idx="92">
                  <c:v>387</c:v>
                </c:pt>
                <c:pt idx="93">
                  <c:v>335</c:v>
                </c:pt>
                <c:pt idx="94">
                  <c:v>254</c:v>
                </c:pt>
                <c:pt idx="95">
                  <c:v>46</c:v>
                </c:pt>
                <c:pt idx="96">
                  <c:v>35</c:v>
                </c:pt>
                <c:pt idx="97">
                  <c:v>18</c:v>
                </c:pt>
                <c:pt idx="98">
                  <c:v>10</c:v>
                </c:pt>
                <c:pt idx="99">
                  <c:v>8</c:v>
                </c:pt>
                <c:pt idx="100">
                  <c:v>10</c:v>
                </c:pt>
                <c:pt idx="101">
                  <c:v>2</c:v>
                </c:pt>
                <c:pt idx="102">
                  <c:v>0</c:v>
                </c:pt>
              </c:numCache>
            </c:numRef>
          </c:val>
          <c:extLst>
            <c:ext xmlns:c16="http://schemas.microsoft.com/office/drawing/2014/chart" uri="{C3380CC4-5D6E-409C-BE32-E72D297353CC}">
              <c16:uniqueId val="{00000001-1A55-4879-91F3-1BF2592CA853}"/>
            </c:ext>
          </c:extLst>
        </c:ser>
        <c:dLbls>
          <c:showLegendKey val="0"/>
          <c:showVal val="0"/>
          <c:showCatName val="0"/>
          <c:showSerName val="0"/>
          <c:showPercent val="0"/>
          <c:showBubbleSize val="0"/>
        </c:dLbls>
        <c:gapWidth val="0"/>
        <c:overlap val="100"/>
        <c:axId val="166668944"/>
        <c:axId val="1"/>
      </c:barChart>
      <c:catAx>
        <c:axId val="166668944"/>
        <c:scaling>
          <c:orientation val="minMax"/>
        </c:scaling>
        <c:delete val="0"/>
        <c:axPos val="l"/>
        <c:numFmt formatCode="General" sourceLinked="1"/>
        <c:majorTickMark val="out"/>
        <c:minorTickMark val="none"/>
        <c:tickLblPos val="nextTo"/>
        <c:spPr>
          <a:ln w="3048">
            <a:solidFill>
              <a:srgbClr val="000000"/>
            </a:solidFill>
            <a:prstDash val="solid"/>
          </a:ln>
        </c:spPr>
        <c:txPr>
          <a:bodyPr rot="0" vert="horz"/>
          <a:lstStyle/>
          <a:p>
            <a:pPr>
              <a:defRPr sz="576" b="0" i="0" u="none" strike="noStrike" baseline="0">
                <a:solidFill>
                  <a:srgbClr val="000000"/>
                </a:solidFill>
                <a:latin typeface="Arial"/>
                <a:ea typeface="Arial"/>
                <a:cs typeface="Arial"/>
              </a:defRPr>
            </a:pPr>
            <a:endParaRPr lang="en-US"/>
          </a:p>
        </c:txPr>
        <c:crossAx val="1"/>
        <c:crosses val="autoZero"/>
        <c:auto val="0"/>
        <c:lblAlgn val="ctr"/>
        <c:lblOffset val="100"/>
        <c:tickLblSkip val="1"/>
        <c:tickMarkSkip val="1"/>
        <c:noMultiLvlLbl val="0"/>
      </c:catAx>
      <c:valAx>
        <c:axId val="1"/>
        <c:scaling>
          <c:orientation val="minMax"/>
          <c:max val="15000"/>
          <c:min val="0"/>
        </c:scaling>
        <c:delete val="0"/>
        <c:axPos val="b"/>
        <c:majorGridlines>
          <c:spPr>
            <a:ln w="3048">
              <a:solidFill>
                <a:srgbClr val="000000"/>
              </a:solidFill>
              <a:prstDash val="solid"/>
            </a:ln>
          </c:spPr>
        </c:majorGridlines>
        <c:title>
          <c:tx>
            <c:rich>
              <a:bodyPr/>
              <a:lstStyle/>
              <a:p>
                <a:pPr>
                  <a:defRPr sz="576" b="0" i="0" u="none" strike="noStrike" baseline="0">
                    <a:solidFill>
                      <a:srgbClr val="000000"/>
                    </a:solidFill>
                    <a:latin typeface="Arial"/>
                    <a:ea typeface="Arial"/>
                    <a:cs typeface="Arial"/>
                  </a:defRPr>
                </a:pPr>
                <a:r>
                  <a:rPr lang="en-US"/>
                  <a:t>persoane</a:t>
                </a:r>
              </a:p>
            </c:rich>
          </c:tx>
          <c:layout>
            <c:manualLayout>
              <c:xMode val="edge"/>
              <c:yMode val="edge"/>
              <c:x val="0.44918032786885248"/>
              <c:y val="0.9177377892030848"/>
            </c:manualLayout>
          </c:layout>
          <c:overlay val="0"/>
          <c:spPr>
            <a:noFill/>
            <a:ln w="24385">
              <a:noFill/>
            </a:ln>
          </c:spPr>
        </c:title>
        <c:numFmt formatCode="General" sourceLinked="1"/>
        <c:majorTickMark val="out"/>
        <c:minorTickMark val="none"/>
        <c:tickLblPos val="nextTo"/>
        <c:spPr>
          <a:ln w="3048">
            <a:solidFill>
              <a:srgbClr val="000000"/>
            </a:solidFill>
            <a:prstDash val="solid"/>
          </a:ln>
        </c:spPr>
        <c:txPr>
          <a:bodyPr rot="0" vert="horz"/>
          <a:lstStyle/>
          <a:p>
            <a:pPr>
              <a:defRPr sz="672" b="0" i="0" u="none" strike="noStrike" baseline="0">
                <a:solidFill>
                  <a:srgbClr val="000000"/>
                </a:solidFill>
                <a:latin typeface="Times New Roman"/>
                <a:ea typeface="Times New Roman"/>
                <a:cs typeface="Times New Roman"/>
              </a:defRPr>
            </a:pPr>
            <a:endParaRPr lang="en-US"/>
          </a:p>
        </c:txPr>
        <c:crossAx val="166668944"/>
        <c:crosses val="autoZero"/>
        <c:crossBetween val="between"/>
        <c:majorUnit val="10000"/>
        <c:minorUnit val="200"/>
      </c:valAx>
      <c:spPr>
        <a:noFill/>
        <a:ln w="24385">
          <a:noFill/>
        </a:ln>
      </c:spPr>
    </c:plotArea>
    <c:plotVisOnly val="1"/>
    <c:dispBlanksAs val="gap"/>
    <c:showDLblsOverMax val="0"/>
  </c:chart>
  <c:spPr>
    <a:noFill/>
    <a:ln>
      <a:noFill/>
    </a:ln>
  </c:spPr>
  <c:txPr>
    <a:bodyPr/>
    <a:lstStyle/>
    <a:p>
      <a:pPr>
        <a:defRPr sz="768" b="1"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34284714883229"/>
          <c:y val="0.1978443447518401"/>
          <c:w val="0.54874716300316206"/>
          <c:h val="0.53684391146022004"/>
        </c:manualLayout>
      </c:layout>
      <c:radarChart>
        <c:radarStyle val="marker"/>
        <c:varyColors val="0"/>
        <c:ser>
          <c:idx val="0"/>
          <c:order val="0"/>
          <c:tx>
            <c:strRef>
              <c:f>Sheet1!$A$2</c:f>
              <c:strCache>
                <c:ptCount val="1"/>
                <c:pt idx="0">
                  <c:v>URBAN</c:v>
                </c:pt>
              </c:strCache>
            </c:strRef>
          </c:tx>
          <c:spPr>
            <a:ln w="25378">
              <a:solidFill>
                <a:srgbClr val="008080"/>
              </a:solidFill>
              <a:prstDash val="sysDash"/>
            </a:ln>
          </c:spPr>
          <c:marker>
            <c:symbol val="diamond"/>
            <c:size val="7"/>
            <c:spPr>
              <a:solidFill>
                <a:srgbClr val="008080"/>
              </a:solidFill>
              <a:ln>
                <a:solidFill>
                  <a:srgbClr val="008080"/>
                </a:solidFill>
                <a:prstDash val="solid"/>
              </a:ln>
            </c:spPr>
          </c:marker>
          <c:dLbls>
            <c:dLbl>
              <c:idx val="0"/>
              <c:layout>
                <c:manualLayout>
                  <c:x val="-4.5705453484981041E-2"/>
                  <c:y val="7.5104848220883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56-410D-8662-26A0BA2FA05F}"/>
                </c:ext>
              </c:extLst>
            </c:dLbl>
            <c:dLbl>
              <c:idx val="1"/>
              <c:layout>
                <c:manualLayout>
                  <c:x val="-2.5218514352372619E-3"/>
                  <c:y val="5.0214345487733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56-410D-8662-26A0BA2FA05F}"/>
                </c:ext>
              </c:extLst>
            </c:dLbl>
            <c:dLbl>
              <c:idx val="2"/>
              <c:layout>
                <c:manualLayout>
                  <c:x val="7.2601758113569059E-2"/>
                  <c:y val="-3.5349388038738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56-410D-8662-26A0BA2FA05F}"/>
                </c:ext>
              </c:extLst>
            </c:dLbl>
            <c:dLbl>
              <c:idx val="3"/>
              <c:layout>
                <c:manualLayout>
                  <c:x val="3.4534683164604424E-2"/>
                  <c:y val="-5.3015518026064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56-410D-8662-26A0BA2FA05F}"/>
                </c:ext>
              </c:extLst>
            </c:dLbl>
            <c:numFmt formatCode="#,##0.0" sourceLinked="0"/>
            <c:spPr>
              <a:solidFill>
                <a:srgbClr val="FFFFFF"/>
              </a:solidFill>
              <a:ln w="12689">
                <a:solidFill>
                  <a:srgbClr val="FFFFFF"/>
                </a:solidFill>
                <a:prstDash val="solid"/>
              </a:ln>
            </c:spPr>
            <c:txPr>
              <a:bodyPr/>
              <a:lstStyle/>
              <a:p>
                <a:pPr>
                  <a:defRPr sz="824" b="0" i="0" u="none" strike="noStrike" baseline="0">
                    <a:solidFill>
                      <a:srgbClr val="00808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instalație electrică</c:v>
                </c:pt>
                <c:pt idx="1">
                  <c:v>   apă curentă</c:v>
                </c:pt>
                <c:pt idx="2">
                  <c:v>canalizare</c:v>
                </c:pt>
                <c:pt idx="3">
                  <c:v>baie   </c:v>
                </c:pt>
              </c:strCache>
            </c:strRef>
          </c:cat>
          <c:val>
            <c:numRef>
              <c:f>Sheet1!$B$2:$E$2</c:f>
              <c:numCache>
                <c:formatCode>#,#00</c:formatCode>
                <c:ptCount val="4"/>
                <c:pt idx="0">
                  <c:v>100</c:v>
                </c:pt>
                <c:pt idx="1">
                  <c:v>100</c:v>
                </c:pt>
                <c:pt idx="2">
                  <c:v>89.8</c:v>
                </c:pt>
                <c:pt idx="3">
                  <c:v>100</c:v>
                </c:pt>
              </c:numCache>
            </c:numRef>
          </c:val>
          <c:extLst>
            <c:ext xmlns:c16="http://schemas.microsoft.com/office/drawing/2014/chart" uri="{C3380CC4-5D6E-409C-BE32-E72D297353CC}">
              <c16:uniqueId val="{00000004-AA56-410D-8662-26A0BA2FA05F}"/>
            </c:ext>
          </c:extLst>
        </c:ser>
        <c:ser>
          <c:idx val="1"/>
          <c:order val="1"/>
          <c:tx>
            <c:strRef>
              <c:f>Sheet1!$A$3</c:f>
              <c:strCache>
                <c:ptCount val="1"/>
                <c:pt idx="0">
                  <c:v>RURAL</c:v>
                </c:pt>
              </c:strCache>
            </c:strRef>
          </c:tx>
          <c:spPr>
            <a:ln w="25378">
              <a:solidFill>
                <a:srgbClr val="FF0000"/>
              </a:solidFill>
              <a:prstDash val="lgDash"/>
            </a:ln>
          </c:spPr>
          <c:marker>
            <c:symbol val="triangle"/>
            <c:size val="7"/>
            <c:spPr>
              <a:solidFill>
                <a:srgbClr val="FF0000"/>
              </a:solidFill>
              <a:ln>
                <a:solidFill>
                  <a:srgbClr val="FF0000"/>
                </a:solidFill>
                <a:prstDash val="solid"/>
              </a:ln>
            </c:spPr>
          </c:marker>
          <c:dLbls>
            <c:dLbl>
              <c:idx val="0"/>
              <c:layout>
                <c:manualLayout>
                  <c:x val="6.3039546581612871E-2"/>
                  <c:y val="6.875000000000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56-410D-8662-26A0BA2FA05F}"/>
                </c:ext>
              </c:extLst>
            </c:dLbl>
            <c:dLbl>
              <c:idx val="1"/>
              <c:layout>
                <c:manualLayout>
                  <c:x val="-4.1041536474606564E-3"/>
                  <c:y val="-4.9890625076464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56-410D-8662-26A0BA2FA05F}"/>
                </c:ext>
              </c:extLst>
            </c:dLbl>
            <c:dLbl>
              <c:idx val="2"/>
              <c:layout>
                <c:manualLayout>
                  <c:x val="-2.7513227513227514E-2"/>
                  <c:y val="-4.3505282784338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56-410D-8662-26A0BA2FA05F}"/>
                </c:ext>
              </c:extLst>
            </c:dLbl>
            <c:dLbl>
              <c:idx val="3"/>
              <c:layout>
                <c:manualLayout>
                  <c:x val="4.3716882840760904E-2"/>
                  <c:y val="5.0214312950858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56-410D-8662-26A0BA2FA05F}"/>
                </c:ext>
              </c:extLst>
            </c:dLbl>
            <c:numFmt formatCode="#,##0.0" sourceLinked="0"/>
            <c:spPr>
              <a:noFill/>
              <a:ln w="25378">
                <a:noFill/>
              </a:ln>
            </c:spPr>
            <c:txPr>
              <a:bodyPr/>
              <a:lstStyle/>
              <a:p>
                <a:pPr>
                  <a:defRPr sz="824" b="0" i="0" u="none" strike="noStrike" baseline="0">
                    <a:solidFill>
                      <a:srgbClr val="FF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instalație electrică</c:v>
                </c:pt>
                <c:pt idx="1">
                  <c:v>   apă curentă</c:v>
                </c:pt>
                <c:pt idx="2">
                  <c:v>canalizare</c:v>
                </c:pt>
                <c:pt idx="3">
                  <c:v>baie   </c:v>
                </c:pt>
              </c:strCache>
            </c:strRef>
          </c:cat>
          <c:val>
            <c:numRef>
              <c:f>Sheet1!$B$3:$E$3</c:f>
              <c:numCache>
                <c:formatCode>#,#00</c:formatCode>
                <c:ptCount val="4"/>
                <c:pt idx="0">
                  <c:v>100</c:v>
                </c:pt>
                <c:pt idx="1">
                  <c:v>99.5</c:v>
                </c:pt>
                <c:pt idx="2">
                  <c:v>60.9</c:v>
                </c:pt>
                <c:pt idx="3">
                  <c:v>100</c:v>
                </c:pt>
              </c:numCache>
            </c:numRef>
          </c:val>
          <c:extLst>
            <c:ext xmlns:c16="http://schemas.microsoft.com/office/drawing/2014/chart" uri="{C3380CC4-5D6E-409C-BE32-E72D297353CC}">
              <c16:uniqueId val="{00000009-AA56-410D-8662-26A0BA2FA05F}"/>
            </c:ext>
          </c:extLst>
        </c:ser>
        <c:dLbls>
          <c:showLegendKey val="0"/>
          <c:showVal val="1"/>
          <c:showCatName val="0"/>
          <c:showSerName val="0"/>
          <c:showPercent val="0"/>
          <c:showBubbleSize val="0"/>
        </c:dLbls>
        <c:axId val="214649088"/>
        <c:axId val="214663168"/>
      </c:radarChart>
      <c:catAx>
        <c:axId val="214649088"/>
        <c:scaling>
          <c:orientation val="minMax"/>
        </c:scaling>
        <c:delete val="0"/>
        <c:axPos val="b"/>
        <c:majorGridlines>
          <c:spPr>
            <a:ln w="12689">
              <a:solidFill>
                <a:srgbClr val="C0C0C0"/>
              </a:solidFill>
              <a:prstDash val="solid"/>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mbria" panose="02040503050406030204" pitchFamily="18" charset="0"/>
                <a:ea typeface="Times New Roman"/>
                <a:cs typeface="Times New Roman"/>
              </a:defRPr>
            </a:pPr>
            <a:endParaRPr lang="en-US"/>
          </a:p>
        </c:txPr>
        <c:crossAx val="214663168"/>
        <c:crosses val="autoZero"/>
        <c:auto val="0"/>
        <c:lblAlgn val="ctr"/>
        <c:lblOffset val="100"/>
        <c:noMultiLvlLbl val="0"/>
      </c:catAx>
      <c:valAx>
        <c:axId val="214663168"/>
        <c:scaling>
          <c:orientation val="minMax"/>
        </c:scaling>
        <c:delete val="0"/>
        <c:axPos val="l"/>
        <c:majorGridlines>
          <c:spPr>
            <a:ln w="12689">
              <a:solidFill>
                <a:srgbClr val="C0C0C0"/>
              </a:solidFill>
              <a:prstDash val="solid"/>
            </a:ln>
          </c:spPr>
        </c:majorGridlines>
        <c:numFmt formatCode="0" sourceLinked="0"/>
        <c:majorTickMark val="cross"/>
        <c:minorTickMark val="none"/>
        <c:tickLblPos val="nextTo"/>
        <c:spPr>
          <a:ln w="12689">
            <a:solidFill>
              <a:srgbClr val="C0C0C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214649088"/>
        <c:crosses val="autoZero"/>
        <c:crossBetween val="between"/>
        <c:majorUnit val="20"/>
        <c:minorUnit val="20"/>
      </c:valAx>
      <c:spPr>
        <a:solidFill>
          <a:srgbClr val="FFFFFF"/>
        </a:solidFill>
        <a:ln w="12689">
          <a:solidFill>
            <a:srgbClr val="FFFFFF"/>
          </a:solidFill>
          <a:prstDash val="solid"/>
        </a:ln>
      </c:spPr>
    </c:plotArea>
    <c:legend>
      <c:legendPos val="r"/>
      <c:layout>
        <c:manualLayout>
          <c:xMode val="edge"/>
          <c:yMode val="edge"/>
          <c:x val="0.60368949063274713"/>
          <c:y val="0.52876812008668406"/>
          <c:w val="0.21261682242990654"/>
          <c:h val="0.13750000000000001"/>
        </c:manualLayout>
      </c:layout>
      <c:overlay val="0"/>
      <c:spPr>
        <a:noFill/>
        <a:ln w="25378">
          <a:noFill/>
        </a:ln>
      </c:spPr>
      <c:txPr>
        <a:bodyPr/>
        <a:lstStyle/>
        <a:p>
          <a:pPr>
            <a:defRPr sz="734"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0680100755667"/>
          <c:y val="3.2967032967032968E-2"/>
          <c:w val="0.853904282115869"/>
          <c:h val="0.63003663003663002"/>
        </c:manualLayout>
      </c:layout>
      <c:barChart>
        <c:barDir val="bar"/>
        <c:grouping val="percentStacked"/>
        <c:varyColors val="0"/>
        <c:ser>
          <c:idx val="0"/>
          <c:order val="0"/>
          <c:tx>
            <c:strRef>
              <c:f>Sheet1!$A$2</c:f>
              <c:strCache>
                <c:ptCount val="1"/>
                <c:pt idx="0">
                  <c:v>Beton armat sau prefabricat din beton</c:v>
                </c:pt>
              </c:strCache>
            </c:strRef>
          </c:tx>
          <c:spPr>
            <a:solidFill>
              <a:srgbClr val="9999FF"/>
            </a:solidFill>
            <a:ln w="12656">
              <a:solidFill>
                <a:srgbClr val="000000"/>
              </a:solidFill>
              <a:prstDash val="solid"/>
            </a:ln>
          </c:spPr>
          <c:invertIfNegative val="0"/>
          <c:dLbls>
            <c:dLbl>
              <c:idx val="0"/>
              <c:layout>
                <c:manualLayout>
                  <c:x val="4.5959627875467264E-2"/>
                  <c:y val="-0.12161450034015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20-4F32-9BB0-906B37AE855F}"/>
                </c:ext>
              </c:extLst>
            </c:dLbl>
            <c:dLbl>
              <c:idx val="1"/>
              <c:layout>
                <c:manualLayout>
                  <c:x val="2.7395585317275404E-2"/>
                  <c:y val="-0.109609984611653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20-4F32-9BB0-906B37AE855F}"/>
                </c:ext>
              </c:extLst>
            </c:dLbl>
            <c:numFmt formatCode="#,##0.0" sourceLinked="0"/>
            <c:spPr>
              <a:solidFill>
                <a:srgbClr val="FFFFFF"/>
              </a:solidFill>
              <a:ln w="3164">
                <a:solidFill>
                  <a:srgbClr val="000000"/>
                </a:solidFill>
                <a:prstDash val="solid"/>
              </a:ln>
              <a:effectLst>
                <a:outerShdw dist="35921" dir="2700000" algn="br">
                  <a:srgbClr val="000000"/>
                </a:outerShdw>
              </a:effectLst>
            </c:spPr>
            <c:txPr>
              <a:bodyPr/>
              <a:lstStyle/>
              <a:p>
                <a:pPr>
                  <a:defRPr sz="797"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Rural</c:v>
                </c:pt>
                <c:pt idx="1">
                  <c:v>Urban</c:v>
                </c:pt>
              </c:strCache>
            </c:strRef>
          </c:cat>
          <c:val>
            <c:numRef>
              <c:f>Sheet1!$B$2:$C$2</c:f>
              <c:numCache>
                <c:formatCode>#,#00</c:formatCode>
                <c:ptCount val="2"/>
                <c:pt idx="0" formatCode="General">
                  <c:v>42.9</c:v>
                </c:pt>
                <c:pt idx="1">
                  <c:v>44.1</c:v>
                </c:pt>
              </c:numCache>
            </c:numRef>
          </c:val>
          <c:extLst>
            <c:ext xmlns:c16="http://schemas.microsoft.com/office/drawing/2014/chart" uri="{C3380CC4-5D6E-409C-BE32-E72D297353CC}">
              <c16:uniqueId val="{00000002-B320-4F32-9BB0-906B37AE855F}"/>
            </c:ext>
          </c:extLst>
        </c:ser>
        <c:ser>
          <c:idx val="1"/>
          <c:order val="1"/>
          <c:tx>
            <c:strRef>
              <c:f>Sheet1!$A$3</c:f>
              <c:strCache>
                <c:ptCount val="1"/>
                <c:pt idx="0">
                  <c:v>Caramida, piatra sau inlocuitori, cu plansee din beton armat si lemn</c:v>
                </c:pt>
              </c:strCache>
            </c:strRef>
          </c:tx>
          <c:spPr>
            <a:solidFill>
              <a:srgbClr val="993366"/>
            </a:solidFill>
            <a:ln w="12656">
              <a:solidFill>
                <a:srgbClr val="000000"/>
              </a:solidFill>
              <a:prstDash val="solid"/>
            </a:ln>
          </c:spPr>
          <c:invertIfNegative val="0"/>
          <c:dLbls>
            <c:dLbl>
              <c:idx val="0"/>
              <c:layout>
                <c:manualLayout>
                  <c:x val="-3.79303046676756E-2"/>
                  <c:y val="-0.117951496677146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20-4F32-9BB0-906B37AE855F}"/>
                </c:ext>
              </c:extLst>
            </c:dLbl>
            <c:dLbl>
              <c:idx val="1"/>
              <c:layout>
                <c:manualLayout>
                  <c:x val="-3.3999027066719749E-2"/>
                  <c:y val="-0.11693599193766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20-4F32-9BB0-906B37AE855F}"/>
                </c:ext>
              </c:extLst>
            </c:dLbl>
            <c:spPr>
              <a:solidFill>
                <a:srgbClr val="FFFFFF"/>
              </a:solidFill>
              <a:ln w="3164">
                <a:solidFill>
                  <a:srgbClr val="000000"/>
                </a:solidFill>
                <a:prstDash val="solid"/>
              </a:ln>
              <a:effectLst>
                <a:outerShdw dist="35921" dir="2700000" algn="br">
                  <a:srgbClr val="000000"/>
                </a:outerShdw>
              </a:effectLst>
            </c:spPr>
            <c:txPr>
              <a:bodyPr/>
              <a:lstStyle/>
              <a:p>
                <a:pPr>
                  <a:defRPr sz="797"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Rural</c:v>
                </c:pt>
                <c:pt idx="1">
                  <c:v>Urban</c:v>
                </c:pt>
              </c:strCache>
            </c:strRef>
          </c:cat>
          <c:val>
            <c:numRef>
              <c:f>Sheet1!$B$3:$C$3</c:f>
              <c:numCache>
                <c:formatCode>General</c:formatCode>
                <c:ptCount val="2"/>
                <c:pt idx="0">
                  <c:v>54.3</c:v>
                </c:pt>
                <c:pt idx="1">
                  <c:v>46.6</c:v>
                </c:pt>
              </c:numCache>
            </c:numRef>
          </c:val>
          <c:extLst>
            <c:ext xmlns:c16="http://schemas.microsoft.com/office/drawing/2014/chart" uri="{C3380CC4-5D6E-409C-BE32-E72D297353CC}">
              <c16:uniqueId val="{00000005-B320-4F32-9BB0-906B37AE855F}"/>
            </c:ext>
          </c:extLst>
        </c:ser>
        <c:ser>
          <c:idx val="2"/>
          <c:order val="2"/>
          <c:tx>
            <c:strRef>
              <c:f>Sheet1!$A$4</c:f>
              <c:strCache>
                <c:ptCount val="1"/>
                <c:pt idx="0">
                  <c:v>Lemn (bile, barne, etc.) si alte materiale</c:v>
                </c:pt>
              </c:strCache>
            </c:strRef>
          </c:tx>
          <c:spPr>
            <a:solidFill>
              <a:srgbClr val="FFFFCC"/>
            </a:solidFill>
            <a:ln w="12656">
              <a:solidFill>
                <a:srgbClr val="000000"/>
              </a:solidFill>
              <a:prstDash val="solid"/>
            </a:ln>
          </c:spPr>
          <c:invertIfNegative val="0"/>
          <c:dLbls>
            <c:dLbl>
              <c:idx val="0"/>
              <c:layout>
                <c:manualLayout>
                  <c:x val="3.063674844112694E-3"/>
                  <c:y val="-9.963632723875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20-4F32-9BB0-906B37AE855F}"/>
                </c:ext>
              </c:extLst>
            </c:dLbl>
            <c:dLbl>
              <c:idx val="1"/>
              <c:layout>
                <c:manualLayout>
                  <c:x val="-1.08597696964197E-3"/>
                  <c:y val="-0.104384462535403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20-4F32-9BB0-906B37AE855F}"/>
                </c:ext>
              </c:extLst>
            </c:dLbl>
            <c:spPr>
              <a:solidFill>
                <a:srgbClr val="FFFFFF"/>
              </a:solidFill>
              <a:ln w="3164">
                <a:solidFill>
                  <a:srgbClr val="000000"/>
                </a:solidFill>
                <a:prstDash val="solid"/>
              </a:ln>
              <a:effectLst>
                <a:outerShdw dist="35921" dir="2700000" algn="br">
                  <a:srgbClr val="000000"/>
                </a:outerShdw>
              </a:effectLst>
            </c:spPr>
            <c:txPr>
              <a:bodyPr/>
              <a:lstStyle/>
              <a:p>
                <a:pPr>
                  <a:defRPr sz="797"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Rural</c:v>
                </c:pt>
                <c:pt idx="1">
                  <c:v>Urban</c:v>
                </c:pt>
              </c:strCache>
            </c:strRef>
          </c:cat>
          <c:val>
            <c:numRef>
              <c:f>Sheet1!$B$4:$C$4</c:f>
              <c:numCache>
                <c:formatCode>General</c:formatCode>
                <c:ptCount val="2"/>
                <c:pt idx="0">
                  <c:v>2.8</c:v>
                </c:pt>
                <c:pt idx="1">
                  <c:v>9.3000000000000007</c:v>
                </c:pt>
              </c:numCache>
            </c:numRef>
          </c:val>
          <c:extLst>
            <c:ext xmlns:c16="http://schemas.microsoft.com/office/drawing/2014/chart" uri="{C3380CC4-5D6E-409C-BE32-E72D297353CC}">
              <c16:uniqueId val="{00000008-B320-4F32-9BB0-906B37AE855F}"/>
            </c:ext>
          </c:extLst>
        </c:ser>
        <c:dLbls>
          <c:showLegendKey val="0"/>
          <c:showVal val="0"/>
          <c:showCatName val="0"/>
          <c:showSerName val="0"/>
          <c:showPercent val="0"/>
          <c:showBubbleSize val="0"/>
        </c:dLbls>
        <c:gapWidth val="150"/>
        <c:overlap val="100"/>
        <c:axId val="214436480"/>
        <c:axId val="214454656"/>
      </c:barChart>
      <c:catAx>
        <c:axId val="214436480"/>
        <c:scaling>
          <c:orientation val="minMax"/>
        </c:scaling>
        <c:delete val="0"/>
        <c:axPos val="l"/>
        <c:numFmt formatCode="General" sourceLinked="1"/>
        <c:majorTickMark val="out"/>
        <c:minorTickMark val="none"/>
        <c:tickLblPos val="low"/>
        <c:spPr>
          <a:ln w="3164">
            <a:solidFill>
              <a:srgbClr val="000000"/>
            </a:solidFill>
            <a:prstDash val="solid"/>
          </a:ln>
        </c:spPr>
        <c:txPr>
          <a:bodyPr rot="0" vert="horz"/>
          <a:lstStyle/>
          <a:p>
            <a:pPr>
              <a:defRPr sz="797" b="1" i="0" u="none" strike="noStrike" baseline="0">
                <a:solidFill>
                  <a:srgbClr val="000000"/>
                </a:solidFill>
                <a:latin typeface="Times New Roman"/>
                <a:ea typeface="Times New Roman"/>
                <a:cs typeface="Times New Roman"/>
              </a:defRPr>
            </a:pPr>
            <a:endParaRPr lang="en-US"/>
          </a:p>
        </c:txPr>
        <c:crossAx val="214454656"/>
        <c:crosses val="autoZero"/>
        <c:auto val="1"/>
        <c:lblAlgn val="ctr"/>
        <c:lblOffset val="100"/>
        <c:noMultiLvlLbl val="0"/>
      </c:catAx>
      <c:valAx>
        <c:axId val="214454656"/>
        <c:scaling>
          <c:orientation val="minMax"/>
        </c:scaling>
        <c:delete val="0"/>
        <c:axPos val="b"/>
        <c:majorGridlines>
          <c:spPr>
            <a:ln w="3164">
              <a:solidFill>
                <a:srgbClr val="000000"/>
              </a:solidFill>
              <a:prstDash val="solid"/>
            </a:ln>
          </c:spPr>
        </c:majorGridlines>
        <c:numFmt formatCode="0%" sourceLinked="1"/>
        <c:majorTickMark val="out"/>
        <c:minorTickMark val="none"/>
        <c:tickLblPos val="nextTo"/>
        <c:spPr>
          <a:ln w="3164">
            <a:solidFill>
              <a:srgbClr val="000000"/>
            </a:solidFill>
            <a:prstDash val="solid"/>
          </a:ln>
        </c:spPr>
        <c:txPr>
          <a:bodyPr rot="0" vert="horz"/>
          <a:lstStyle/>
          <a:p>
            <a:pPr>
              <a:defRPr sz="797" b="0" i="0" u="none" strike="noStrike" baseline="0">
                <a:solidFill>
                  <a:srgbClr val="000000"/>
                </a:solidFill>
                <a:latin typeface="Times New Roman"/>
                <a:ea typeface="Times New Roman"/>
                <a:cs typeface="Times New Roman"/>
              </a:defRPr>
            </a:pPr>
            <a:endParaRPr lang="en-US"/>
          </a:p>
        </c:txPr>
        <c:crossAx val="214436480"/>
        <c:crosses val="autoZero"/>
        <c:crossBetween val="between"/>
        <c:majorUnit val="0.2"/>
        <c:minorUnit val="0.02"/>
      </c:valAx>
      <c:spPr>
        <a:noFill/>
        <a:ln w="25400">
          <a:noFill/>
        </a:ln>
      </c:spPr>
    </c:plotArea>
    <c:legend>
      <c:legendPos val="b"/>
      <c:layout>
        <c:manualLayout>
          <c:xMode val="edge"/>
          <c:yMode val="edge"/>
          <c:x val="9.06801007556675E-2"/>
          <c:y val="0.78021978021978022"/>
          <c:w val="0.4747623685767603"/>
          <c:h val="0.19108612482761689"/>
        </c:manualLayout>
      </c:layout>
      <c:overlay val="0"/>
      <c:spPr>
        <a:noFill/>
        <a:ln w="25313">
          <a:noFill/>
        </a:ln>
      </c:spPr>
      <c:txPr>
        <a:bodyPr/>
        <a:lstStyle/>
        <a:p>
          <a:pPr>
            <a:defRPr sz="732"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1146"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6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3316582914572864"/>
          <c:y val="2.8571428571428571E-2"/>
          <c:w val="0.84422110552763818"/>
          <c:h val="0.75357142857142856"/>
        </c:manualLayout>
      </c:layout>
      <c:bar3DChart>
        <c:barDir val="bar"/>
        <c:grouping val="percentStacked"/>
        <c:varyColors val="0"/>
        <c:ser>
          <c:idx val="0"/>
          <c:order val="0"/>
          <c:tx>
            <c:strRef>
              <c:f>Sheet1!$A$2</c:f>
              <c:strCache>
                <c:ptCount val="1"/>
                <c:pt idx="0">
                  <c:v>parter</c:v>
                </c:pt>
              </c:strCache>
            </c:strRef>
          </c:tx>
          <c:spPr>
            <a:solidFill>
              <a:srgbClr val="9999FF"/>
            </a:solidFill>
            <a:ln w="12675">
              <a:solidFill>
                <a:srgbClr val="000000"/>
              </a:solidFill>
              <a:prstDash val="solid"/>
            </a:ln>
          </c:spPr>
          <c:invertIfNegative val="0"/>
          <c:dLbls>
            <c:dLbl>
              <c:idx val="0"/>
              <c:layout>
                <c:manualLayout>
                  <c:x val="2.9476212727269809E-2"/>
                  <c:y val="-0.131203273441513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B-451F-82A2-88FCDD04A351}"/>
                </c:ext>
              </c:extLst>
            </c:dLbl>
            <c:dLbl>
              <c:idx val="1"/>
              <c:layout>
                <c:manualLayout>
                  <c:x val="6.5324100101511406E-2"/>
                  <c:y val="-0.152765637559523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3B-451F-82A2-88FCDD04A351}"/>
                </c:ext>
              </c:extLst>
            </c:dLbl>
            <c:numFmt formatCode="#,##0.0" sourceLinked="0"/>
            <c:spPr>
              <a:solidFill>
                <a:srgbClr val="FFFFFF"/>
              </a:solidFill>
              <a:ln w="12675">
                <a:solidFill>
                  <a:srgbClr val="FFFFFF"/>
                </a:solidFill>
                <a:prstDash val="solid"/>
              </a:ln>
              <a:effectLst>
                <a:outerShdw dist="35921" dir="2700000" algn="br">
                  <a:srgbClr val="000000"/>
                </a:outerShdw>
              </a:effectLst>
            </c:spPr>
            <c:txPr>
              <a:bodyPr/>
              <a:lstStyle/>
              <a:p>
                <a:pPr>
                  <a:defRPr sz="7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Rural</c:v>
                </c:pt>
                <c:pt idx="1">
                  <c:v>Urban</c:v>
                </c:pt>
              </c:strCache>
            </c:strRef>
          </c:cat>
          <c:val>
            <c:numRef>
              <c:f>Sheet1!$B$2:$C$2</c:f>
              <c:numCache>
                <c:formatCode>General</c:formatCode>
                <c:ptCount val="2"/>
                <c:pt idx="0">
                  <c:v>113</c:v>
                </c:pt>
                <c:pt idx="1">
                  <c:v>25</c:v>
                </c:pt>
              </c:numCache>
            </c:numRef>
          </c:val>
          <c:extLst>
            <c:ext xmlns:c16="http://schemas.microsoft.com/office/drawing/2014/chart" uri="{C3380CC4-5D6E-409C-BE32-E72D297353CC}">
              <c16:uniqueId val="{00000002-303B-451F-82A2-88FCDD04A351}"/>
            </c:ext>
          </c:extLst>
        </c:ser>
        <c:ser>
          <c:idx val="1"/>
          <c:order val="1"/>
          <c:tx>
            <c:strRef>
              <c:f>Sheet1!$A$3</c:f>
              <c:strCache>
                <c:ptCount val="1"/>
                <c:pt idx="0">
                  <c:v>parter+1</c:v>
                </c:pt>
              </c:strCache>
            </c:strRef>
          </c:tx>
          <c:spPr>
            <a:solidFill>
              <a:srgbClr val="993366"/>
            </a:solidFill>
            <a:ln w="12675">
              <a:solidFill>
                <a:srgbClr val="000000"/>
              </a:solidFill>
              <a:prstDash val="solid"/>
            </a:ln>
          </c:spPr>
          <c:invertIfNegative val="0"/>
          <c:dLbls>
            <c:dLbl>
              <c:idx val="0"/>
              <c:layout>
                <c:manualLayout>
                  <c:x val="-4.1164548503002905E-2"/>
                  <c:y val="-0.116917559155799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3B-451F-82A2-88FCDD04A351}"/>
                </c:ext>
              </c:extLst>
            </c:dLbl>
            <c:dLbl>
              <c:idx val="1"/>
              <c:layout>
                <c:manualLayout>
                  <c:x val="-2.6666494014245996E-2"/>
                  <c:y val="-0.13847992327380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3B-451F-82A2-88FCDD04A351}"/>
                </c:ext>
              </c:extLst>
            </c:dLbl>
            <c:numFmt formatCode="#,##0.0" sourceLinked="0"/>
            <c:spPr>
              <a:solidFill>
                <a:srgbClr val="FFFFFF"/>
              </a:solidFill>
              <a:ln w="12675">
                <a:solidFill>
                  <a:srgbClr val="FFFFFF"/>
                </a:solidFill>
                <a:prstDash val="solid"/>
              </a:ln>
              <a:effectLst>
                <a:outerShdw dist="35921" dir="2700000" algn="br">
                  <a:srgbClr val="000000"/>
                </a:outerShdw>
              </a:effectLst>
            </c:spPr>
            <c:txPr>
              <a:bodyPr/>
              <a:lstStyle/>
              <a:p>
                <a:pPr>
                  <a:defRPr sz="7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Rural</c:v>
                </c:pt>
                <c:pt idx="1">
                  <c:v>Urban</c:v>
                </c:pt>
              </c:strCache>
            </c:strRef>
          </c:cat>
          <c:val>
            <c:numRef>
              <c:f>Sheet1!$B$3:$C$3</c:f>
              <c:numCache>
                <c:formatCode>General</c:formatCode>
                <c:ptCount val="2"/>
                <c:pt idx="0">
                  <c:v>252</c:v>
                </c:pt>
                <c:pt idx="1">
                  <c:v>78</c:v>
                </c:pt>
              </c:numCache>
            </c:numRef>
          </c:val>
          <c:extLst>
            <c:ext xmlns:c16="http://schemas.microsoft.com/office/drawing/2014/chart" uri="{C3380CC4-5D6E-409C-BE32-E72D297353CC}">
              <c16:uniqueId val="{00000005-303B-451F-82A2-88FCDD04A351}"/>
            </c:ext>
          </c:extLst>
        </c:ser>
        <c:ser>
          <c:idx val="2"/>
          <c:order val="2"/>
          <c:tx>
            <c:strRef>
              <c:f>Sheet1!$A$4</c:f>
              <c:strCache>
                <c:ptCount val="1"/>
                <c:pt idx="0">
                  <c:v>parter+2 și peste</c:v>
                </c:pt>
              </c:strCache>
            </c:strRef>
          </c:tx>
          <c:spPr>
            <a:solidFill>
              <a:srgbClr val="FFFFCC"/>
            </a:solidFill>
            <a:ln w="12675">
              <a:solidFill>
                <a:srgbClr val="000000"/>
              </a:solidFill>
              <a:prstDash val="solid"/>
            </a:ln>
          </c:spPr>
          <c:invertIfNegative val="0"/>
          <c:dLbls>
            <c:dLbl>
              <c:idx val="0"/>
              <c:layout>
                <c:manualLayout>
                  <c:x val="2.8172007064265713E-2"/>
                  <c:y val="-0.12048898772722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3B-451F-82A2-88FCDD04A351}"/>
                </c:ext>
              </c:extLst>
            </c:dLbl>
            <c:dLbl>
              <c:idx val="1"/>
              <c:layout>
                <c:manualLayout>
                  <c:x val="1.8466826250236722E-2"/>
                  <c:y val="-0.145622780416666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3B-451F-82A2-88FCDD04A351}"/>
                </c:ext>
              </c:extLst>
            </c:dLbl>
            <c:numFmt formatCode="#,##0.0" sourceLinked="0"/>
            <c:spPr>
              <a:solidFill>
                <a:srgbClr val="FFFFFF"/>
              </a:solidFill>
              <a:ln w="12675">
                <a:solidFill>
                  <a:srgbClr val="FFFFFF"/>
                </a:solidFill>
                <a:prstDash val="solid"/>
              </a:ln>
              <a:effectLst>
                <a:outerShdw dist="35921" dir="2700000" algn="br">
                  <a:srgbClr val="000000"/>
                </a:outerShdw>
              </a:effectLst>
            </c:spPr>
            <c:txPr>
              <a:bodyPr/>
              <a:lstStyle/>
              <a:p>
                <a:pPr>
                  <a:defRPr sz="7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Rural</c:v>
                </c:pt>
                <c:pt idx="1">
                  <c:v>Urban</c:v>
                </c:pt>
              </c:strCache>
            </c:strRef>
          </c:cat>
          <c:val>
            <c:numRef>
              <c:f>Sheet1!$B$4:$C$4</c:f>
              <c:numCache>
                <c:formatCode>#,#00</c:formatCode>
                <c:ptCount val="2"/>
                <c:pt idx="0" formatCode="General">
                  <c:v>11</c:v>
                </c:pt>
                <c:pt idx="1">
                  <c:v>14</c:v>
                </c:pt>
              </c:numCache>
            </c:numRef>
          </c:val>
          <c:extLst>
            <c:ext xmlns:c16="http://schemas.microsoft.com/office/drawing/2014/chart" uri="{C3380CC4-5D6E-409C-BE32-E72D297353CC}">
              <c16:uniqueId val="{00000008-303B-451F-82A2-88FCDD04A351}"/>
            </c:ext>
          </c:extLst>
        </c:ser>
        <c:dLbls>
          <c:showLegendKey val="0"/>
          <c:showVal val="0"/>
          <c:showCatName val="0"/>
          <c:showSerName val="0"/>
          <c:showPercent val="0"/>
          <c:showBubbleSize val="0"/>
        </c:dLbls>
        <c:gapWidth val="150"/>
        <c:gapDepth val="0"/>
        <c:shape val="cylinder"/>
        <c:axId val="214486016"/>
        <c:axId val="214565632"/>
        <c:axId val="0"/>
      </c:bar3DChart>
      <c:catAx>
        <c:axId val="214486016"/>
        <c:scaling>
          <c:orientation val="minMax"/>
        </c:scaling>
        <c:delete val="0"/>
        <c:axPos val="l"/>
        <c:numFmt formatCode="General" sourceLinked="1"/>
        <c:majorTickMark val="out"/>
        <c:minorTickMark val="none"/>
        <c:tickLblPos val="low"/>
        <c:spPr>
          <a:ln w="3169">
            <a:solidFill>
              <a:srgbClr val="000000"/>
            </a:solidFill>
            <a:prstDash val="solid"/>
          </a:ln>
        </c:spPr>
        <c:txPr>
          <a:bodyPr rot="0" vert="horz"/>
          <a:lstStyle/>
          <a:p>
            <a:pPr>
              <a:defRPr sz="1148" b="1" i="0" u="none" strike="noStrike" baseline="0">
                <a:solidFill>
                  <a:srgbClr val="000000"/>
                </a:solidFill>
                <a:latin typeface="Calibri"/>
                <a:ea typeface="Calibri"/>
                <a:cs typeface="Calibri"/>
              </a:defRPr>
            </a:pPr>
            <a:endParaRPr lang="en-US"/>
          </a:p>
        </c:txPr>
        <c:crossAx val="214565632"/>
        <c:crosses val="autoZero"/>
        <c:auto val="1"/>
        <c:lblAlgn val="ctr"/>
        <c:lblOffset val="100"/>
        <c:tickLblSkip val="1"/>
        <c:tickMarkSkip val="1"/>
        <c:noMultiLvlLbl val="0"/>
      </c:catAx>
      <c:valAx>
        <c:axId val="214565632"/>
        <c:scaling>
          <c:orientation val="minMax"/>
        </c:scaling>
        <c:delete val="0"/>
        <c:axPos val="b"/>
        <c:majorGridlines>
          <c:spPr>
            <a:ln w="3169">
              <a:solidFill>
                <a:srgbClr val="000000"/>
              </a:solidFill>
              <a:prstDash val="solid"/>
            </a:ln>
          </c:spPr>
        </c:majorGridlines>
        <c:numFmt formatCode="0%" sourceLinked="1"/>
        <c:majorTickMark val="out"/>
        <c:minorTickMark val="none"/>
        <c:tickLblPos val="nextTo"/>
        <c:spPr>
          <a:ln w="3169">
            <a:solidFill>
              <a:srgbClr val="000000"/>
            </a:solidFill>
            <a:prstDash val="solid"/>
          </a:ln>
        </c:spPr>
        <c:txPr>
          <a:bodyPr rot="0" vert="horz"/>
          <a:lstStyle/>
          <a:p>
            <a:pPr>
              <a:defRPr sz="1073" b="0" i="0" u="none" strike="noStrike" baseline="0">
                <a:solidFill>
                  <a:srgbClr val="000000"/>
                </a:solidFill>
                <a:latin typeface="Calibri"/>
                <a:ea typeface="Calibri"/>
                <a:cs typeface="Calibri"/>
              </a:defRPr>
            </a:pPr>
            <a:endParaRPr lang="en-US"/>
          </a:p>
        </c:txPr>
        <c:crossAx val="214486016"/>
        <c:crosses val="autoZero"/>
        <c:crossBetween val="between"/>
      </c:valAx>
      <c:spPr>
        <a:noFill/>
        <a:ln w="25350">
          <a:noFill/>
        </a:ln>
      </c:spPr>
    </c:plotArea>
    <c:legend>
      <c:legendPos val="b"/>
      <c:layout>
        <c:manualLayout>
          <c:xMode val="edge"/>
          <c:yMode val="edge"/>
          <c:x val="0.14572864321608039"/>
          <c:y val="0.91785714285714282"/>
          <c:w val="0.78140703517587939"/>
          <c:h val="7.857142857142857E-2"/>
        </c:manualLayout>
      </c:layout>
      <c:overlay val="0"/>
      <c:spPr>
        <a:noFill/>
        <a:ln w="25350">
          <a:noFill/>
        </a:ln>
      </c:spPr>
      <c:txPr>
        <a:bodyPr/>
        <a:lstStyle/>
        <a:p>
          <a:pPr>
            <a:defRPr sz="918"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114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00000000000001"/>
          <c:y val="3.5294117647058823E-2"/>
          <c:w val="0.67333333333333334"/>
          <c:h val="0.74509803921568629"/>
        </c:manualLayout>
      </c:layout>
      <c:barChart>
        <c:barDir val="bar"/>
        <c:grouping val="percentStacked"/>
        <c:varyColors val="0"/>
        <c:ser>
          <c:idx val="0"/>
          <c:order val="0"/>
          <c:tx>
            <c:strRef>
              <c:f>Sheet1!$A$2</c:f>
              <c:strCache>
                <c:ptCount val="1"/>
                <c:pt idx="0">
                  <c:v>Mediul urban</c:v>
                </c:pt>
              </c:strCache>
            </c:strRef>
          </c:tx>
          <c:spPr>
            <a:solidFill>
              <a:srgbClr val="0000FF"/>
            </a:solidFill>
            <a:ln w="12792">
              <a:solidFill>
                <a:srgbClr val="3366FF"/>
              </a:solidFill>
              <a:prstDash val="solid"/>
            </a:ln>
          </c:spPr>
          <c:invertIfNegative val="0"/>
          <c:cat>
            <c:strRef>
              <c:f>Sheet1!$B$1:$N$1</c:f>
              <c:strCache>
                <c:ptCount val="13"/>
                <c:pt idx="0">
                  <c:v>iun. 2022</c:v>
                </c:pt>
                <c:pt idx="1">
                  <c:v>iul. 2022</c:v>
                </c:pt>
                <c:pt idx="2">
                  <c:v>aug.2022</c:v>
                </c:pt>
                <c:pt idx="3">
                  <c:v>sep. 2022</c:v>
                </c:pt>
                <c:pt idx="4">
                  <c:v>oct. 2022</c:v>
                </c:pt>
                <c:pt idx="5">
                  <c:v>nov. 2022</c:v>
                </c:pt>
                <c:pt idx="6">
                  <c:v>dec. 2022</c:v>
                </c:pt>
                <c:pt idx="7">
                  <c:v>ian. 2023</c:v>
                </c:pt>
                <c:pt idx="8">
                  <c:v>feb. 2023</c:v>
                </c:pt>
                <c:pt idx="9">
                  <c:v>mar. 2023</c:v>
                </c:pt>
                <c:pt idx="10">
                  <c:v>apr.2023</c:v>
                </c:pt>
                <c:pt idx="11">
                  <c:v>mai 2023</c:v>
                </c:pt>
                <c:pt idx="12">
                  <c:v>iun. 2023</c:v>
                </c:pt>
              </c:strCache>
            </c:strRef>
          </c:cat>
          <c:val>
            <c:numRef>
              <c:f>Sheet1!$B$2:$N$2</c:f>
              <c:numCache>
                <c:formatCode>General</c:formatCode>
                <c:ptCount val="13"/>
                <c:pt idx="0">
                  <c:v>29</c:v>
                </c:pt>
                <c:pt idx="1">
                  <c:v>29.8</c:v>
                </c:pt>
                <c:pt idx="2">
                  <c:v>32.700000000000003</c:v>
                </c:pt>
                <c:pt idx="3">
                  <c:v>20.5</c:v>
                </c:pt>
                <c:pt idx="4">
                  <c:v>27.6</c:v>
                </c:pt>
                <c:pt idx="5">
                  <c:v>30.9</c:v>
                </c:pt>
                <c:pt idx="6">
                  <c:v>24.1</c:v>
                </c:pt>
                <c:pt idx="7">
                  <c:v>27</c:v>
                </c:pt>
                <c:pt idx="8">
                  <c:v>21.3</c:v>
                </c:pt>
                <c:pt idx="9">
                  <c:v>41.4</c:v>
                </c:pt>
                <c:pt idx="10">
                  <c:v>30.8</c:v>
                </c:pt>
                <c:pt idx="11">
                  <c:v>33</c:v>
                </c:pt>
                <c:pt idx="12">
                  <c:v>26.9</c:v>
                </c:pt>
              </c:numCache>
            </c:numRef>
          </c:val>
          <c:extLst>
            <c:ext xmlns:c16="http://schemas.microsoft.com/office/drawing/2014/chart" uri="{C3380CC4-5D6E-409C-BE32-E72D297353CC}">
              <c16:uniqueId val="{00000000-1233-4A64-A3FB-FADBAE34BD07}"/>
            </c:ext>
          </c:extLst>
        </c:ser>
        <c:ser>
          <c:idx val="2"/>
          <c:order val="1"/>
          <c:tx>
            <c:strRef>
              <c:f>Sheet1!$A$3</c:f>
              <c:strCache>
                <c:ptCount val="1"/>
                <c:pt idx="0">
                  <c:v>Mediul rural</c:v>
                </c:pt>
              </c:strCache>
            </c:strRef>
          </c:tx>
          <c:spPr>
            <a:solidFill>
              <a:srgbClr val="00CCFF"/>
            </a:solidFill>
            <a:ln w="12792">
              <a:solidFill>
                <a:srgbClr val="00CCFF"/>
              </a:solidFill>
              <a:prstDash val="solid"/>
            </a:ln>
          </c:spPr>
          <c:invertIfNegative val="0"/>
          <c:cat>
            <c:strRef>
              <c:f>Sheet1!$B$1:$N$1</c:f>
              <c:strCache>
                <c:ptCount val="13"/>
                <c:pt idx="0">
                  <c:v>iun. 2022</c:v>
                </c:pt>
                <c:pt idx="1">
                  <c:v>iul. 2022</c:v>
                </c:pt>
                <c:pt idx="2">
                  <c:v>aug.2022</c:v>
                </c:pt>
                <c:pt idx="3">
                  <c:v>sep. 2022</c:v>
                </c:pt>
                <c:pt idx="4">
                  <c:v>oct. 2022</c:v>
                </c:pt>
                <c:pt idx="5">
                  <c:v>nov. 2022</c:v>
                </c:pt>
                <c:pt idx="6">
                  <c:v>dec. 2022</c:v>
                </c:pt>
                <c:pt idx="7">
                  <c:v>ian. 2023</c:v>
                </c:pt>
                <c:pt idx="8">
                  <c:v>feb. 2023</c:v>
                </c:pt>
                <c:pt idx="9">
                  <c:v>mar. 2023</c:v>
                </c:pt>
                <c:pt idx="10">
                  <c:v>apr.2023</c:v>
                </c:pt>
                <c:pt idx="11">
                  <c:v>mai 2023</c:v>
                </c:pt>
                <c:pt idx="12">
                  <c:v>iun. 2023</c:v>
                </c:pt>
              </c:strCache>
            </c:strRef>
          </c:cat>
          <c:val>
            <c:numRef>
              <c:f>Sheet1!$B$3:$N$3</c:f>
              <c:numCache>
                <c:formatCode>General</c:formatCode>
                <c:ptCount val="13"/>
                <c:pt idx="0">
                  <c:v>71</c:v>
                </c:pt>
                <c:pt idx="1">
                  <c:v>70.2</c:v>
                </c:pt>
                <c:pt idx="2">
                  <c:v>67.3</c:v>
                </c:pt>
                <c:pt idx="3">
                  <c:v>79.5</c:v>
                </c:pt>
                <c:pt idx="4">
                  <c:v>72.400000000000006</c:v>
                </c:pt>
                <c:pt idx="5">
                  <c:v>69.099999999999994</c:v>
                </c:pt>
                <c:pt idx="6">
                  <c:v>75.900000000000006</c:v>
                </c:pt>
                <c:pt idx="7">
                  <c:v>73</c:v>
                </c:pt>
                <c:pt idx="8">
                  <c:v>78.7</c:v>
                </c:pt>
                <c:pt idx="9">
                  <c:v>58.6</c:v>
                </c:pt>
                <c:pt idx="10">
                  <c:v>69.2</c:v>
                </c:pt>
                <c:pt idx="11">
                  <c:v>67</c:v>
                </c:pt>
                <c:pt idx="12">
                  <c:v>73.099999999999994</c:v>
                </c:pt>
              </c:numCache>
            </c:numRef>
          </c:val>
          <c:extLst>
            <c:ext xmlns:c16="http://schemas.microsoft.com/office/drawing/2014/chart" uri="{C3380CC4-5D6E-409C-BE32-E72D297353CC}">
              <c16:uniqueId val="{00000001-1233-4A64-A3FB-FADBAE34BD07}"/>
            </c:ext>
          </c:extLst>
        </c:ser>
        <c:dLbls>
          <c:showLegendKey val="0"/>
          <c:showVal val="0"/>
          <c:showCatName val="0"/>
          <c:showSerName val="0"/>
          <c:showPercent val="0"/>
          <c:showBubbleSize val="0"/>
        </c:dLbls>
        <c:gapWidth val="150"/>
        <c:overlap val="100"/>
        <c:axId val="174754240"/>
        <c:axId val="1"/>
      </c:barChart>
      <c:catAx>
        <c:axId val="174754240"/>
        <c:scaling>
          <c:orientation val="minMax"/>
        </c:scaling>
        <c:delete val="0"/>
        <c:axPos val="l"/>
        <c:numFmt formatCode="mmm/yyyy" sourceLinked="0"/>
        <c:majorTickMark val="out"/>
        <c:minorTickMark val="none"/>
        <c:tickLblPos val="nextTo"/>
        <c:spPr>
          <a:ln w="3198">
            <a:solidFill>
              <a:srgbClr val="000000"/>
            </a:solidFill>
            <a:prstDash val="solid"/>
          </a:ln>
        </c:spPr>
        <c:txPr>
          <a:bodyPr rot="0" vert="horz"/>
          <a:lstStyle/>
          <a:p>
            <a:pPr>
              <a:defRPr sz="856" b="0" i="0" u="none" strike="noStrike" baseline="0">
                <a:solidFill>
                  <a:srgbClr val="000000"/>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max val="1"/>
          <c:min val="0"/>
        </c:scaling>
        <c:delete val="0"/>
        <c:axPos val="b"/>
        <c:majorGridlines>
          <c:spPr>
            <a:ln w="3198">
              <a:solidFill>
                <a:srgbClr val="000000"/>
              </a:solidFill>
              <a:prstDash val="solid"/>
            </a:ln>
          </c:spPr>
        </c:majorGridlines>
        <c:numFmt formatCode="0%" sourceLinked="1"/>
        <c:majorTickMark val="out"/>
        <c:minorTickMark val="none"/>
        <c:tickLblPos val="nextTo"/>
        <c:spPr>
          <a:ln w="3198">
            <a:solidFill>
              <a:srgbClr val="000000"/>
            </a:solidFill>
            <a:prstDash val="solid"/>
          </a:ln>
        </c:spPr>
        <c:txPr>
          <a:bodyPr rot="0" vert="horz"/>
          <a:lstStyle/>
          <a:p>
            <a:pPr>
              <a:defRPr sz="856" b="0" i="0" u="none" strike="noStrike" baseline="0">
                <a:solidFill>
                  <a:srgbClr val="000000"/>
                </a:solidFill>
                <a:latin typeface="Calibri"/>
                <a:ea typeface="Calibri"/>
                <a:cs typeface="Calibri"/>
              </a:defRPr>
            </a:pPr>
            <a:endParaRPr lang="en-US"/>
          </a:p>
        </c:txPr>
        <c:crossAx val="174754240"/>
        <c:crosses val="autoZero"/>
        <c:crossBetween val="between"/>
        <c:majorUnit val="0.2"/>
      </c:valAx>
      <c:spPr>
        <a:solidFill>
          <a:srgbClr val="FFFFFF"/>
        </a:solidFill>
        <a:ln w="12792">
          <a:solidFill>
            <a:srgbClr val="808080"/>
          </a:solidFill>
          <a:prstDash val="solid"/>
        </a:ln>
      </c:spPr>
    </c:plotArea>
    <c:legend>
      <c:legendPos val="r"/>
      <c:layout>
        <c:manualLayout>
          <c:xMode val="edge"/>
          <c:yMode val="edge"/>
          <c:x val="0.17833333333333334"/>
          <c:y val="0.90980392156862744"/>
          <c:w val="0.79500000000000004"/>
          <c:h val="9.4117647058823528E-2"/>
        </c:manualLayout>
      </c:layout>
      <c:overlay val="0"/>
      <c:spPr>
        <a:noFill/>
        <a:ln w="25583">
          <a:noFill/>
        </a:ln>
      </c:spPr>
      <c:txPr>
        <a:bodyPr/>
        <a:lstStyle/>
        <a:p>
          <a:pPr>
            <a:defRPr sz="927"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9"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900" b="1">
                <a:effectLst/>
              </a:rPr>
              <a:t>Evoluţia numărului de autorizaţii de construire eliberate pentru clădiri </a:t>
            </a:r>
            <a:endParaRPr lang="en-US"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clădiri rezidenţiale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[$-409]mmm\-yy;@</c:formatCode>
                <c:ptCount val="13"/>
                <c:pt idx="0">
                  <c:v>44713</c:v>
                </c:pt>
                <c:pt idx="1">
                  <c:v>44743</c:v>
                </c:pt>
                <c:pt idx="2">
                  <c:v>44774</c:v>
                </c:pt>
                <c:pt idx="3">
                  <c:v>44805</c:v>
                </c:pt>
                <c:pt idx="4">
                  <c:v>44835</c:v>
                </c:pt>
                <c:pt idx="5">
                  <c:v>44866</c:v>
                </c:pt>
                <c:pt idx="6">
                  <c:v>44896</c:v>
                </c:pt>
                <c:pt idx="7">
                  <c:v>44927</c:v>
                </c:pt>
                <c:pt idx="8">
                  <c:v>44958</c:v>
                </c:pt>
                <c:pt idx="9">
                  <c:v>44987</c:v>
                </c:pt>
                <c:pt idx="10">
                  <c:v>45017</c:v>
                </c:pt>
                <c:pt idx="11">
                  <c:v>45047</c:v>
                </c:pt>
                <c:pt idx="12">
                  <c:v>45078</c:v>
                </c:pt>
              </c:numCache>
            </c:numRef>
          </c:cat>
          <c:val>
            <c:numRef>
              <c:f>Sheet1!$B$2:$B$14</c:f>
              <c:numCache>
                <c:formatCode>General</c:formatCode>
                <c:ptCount val="13"/>
                <c:pt idx="0">
                  <c:v>145</c:v>
                </c:pt>
                <c:pt idx="1">
                  <c:v>124</c:v>
                </c:pt>
                <c:pt idx="2">
                  <c:v>150</c:v>
                </c:pt>
                <c:pt idx="3">
                  <c:v>117</c:v>
                </c:pt>
                <c:pt idx="4">
                  <c:v>105</c:v>
                </c:pt>
                <c:pt idx="5">
                  <c:v>97</c:v>
                </c:pt>
                <c:pt idx="6">
                  <c:v>108</c:v>
                </c:pt>
                <c:pt idx="7">
                  <c:v>63</c:v>
                </c:pt>
                <c:pt idx="8">
                  <c:v>75</c:v>
                </c:pt>
                <c:pt idx="9">
                  <c:v>111</c:v>
                </c:pt>
                <c:pt idx="10">
                  <c:v>107</c:v>
                </c:pt>
                <c:pt idx="11">
                  <c:v>103</c:v>
                </c:pt>
                <c:pt idx="12">
                  <c:v>93</c:v>
                </c:pt>
              </c:numCache>
            </c:numRef>
          </c:val>
          <c:extLst>
            <c:ext xmlns:c16="http://schemas.microsoft.com/office/drawing/2014/chart" uri="{C3380CC4-5D6E-409C-BE32-E72D297353CC}">
              <c16:uniqueId val="{00000000-CEFF-4430-83BD-12ED591F6094}"/>
            </c:ext>
          </c:extLst>
        </c:ser>
        <c:ser>
          <c:idx val="1"/>
          <c:order val="1"/>
          <c:tx>
            <c:strRef>
              <c:f>Sheet1!$C$1</c:f>
              <c:strCache>
                <c:ptCount val="1"/>
                <c:pt idx="0">
                  <c:v>clădiri nerezidenţiale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[$-409]mmm\-yy;@</c:formatCode>
                <c:ptCount val="13"/>
                <c:pt idx="0">
                  <c:v>44713</c:v>
                </c:pt>
                <c:pt idx="1">
                  <c:v>44743</c:v>
                </c:pt>
                <c:pt idx="2">
                  <c:v>44774</c:v>
                </c:pt>
                <c:pt idx="3">
                  <c:v>44805</c:v>
                </c:pt>
                <c:pt idx="4">
                  <c:v>44835</c:v>
                </c:pt>
                <c:pt idx="5">
                  <c:v>44866</c:v>
                </c:pt>
                <c:pt idx="6">
                  <c:v>44896</c:v>
                </c:pt>
                <c:pt idx="7">
                  <c:v>44927</c:v>
                </c:pt>
                <c:pt idx="8">
                  <c:v>44958</c:v>
                </c:pt>
                <c:pt idx="9">
                  <c:v>44987</c:v>
                </c:pt>
                <c:pt idx="10">
                  <c:v>45017</c:v>
                </c:pt>
                <c:pt idx="11">
                  <c:v>45047</c:v>
                </c:pt>
                <c:pt idx="12">
                  <c:v>45078</c:v>
                </c:pt>
              </c:numCache>
            </c:numRef>
          </c:cat>
          <c:val>
            <c:numRef>
              <c:f>Sheet1!$C$2:$C$14</c:f>
              <c:numCache>
                <c:formatCode>General</c:formatCode>
                <c:ptCount val="13"/>
                <c:pt idx="0">
                  <c:v>10</c:v>
                </c:pt>
                <c:pt idx="1">
                  <c:v>6</c:v>
                </c:pt>
                <c:pt idx="2">
                  <c:v>11</c:v>
                </c:pt>
                <c:pt idx="3">
                  <c:v>19</c:v>
                </c:pt>
                <c:pt idx="4">
                  <c:v>15</c:v>
                </c:pt>
                <c:pt idx="5">
                  <c:v>24</c:v>
                </c:pt>
                <c:pt idx="6">
                  <c:v>13</c:v>
                </c:pt>
                <c:pt idx="7">
                  <c:v>8</c:v>
                </c:pt>
                <c:pt idx="8">
                  <c:v>10</c:v>
                </c:pt>
                <c:pt idx="9">
                  <c:v>15</c:v>
                </c:pt>
                <c:pt idx="10">
                  <c:v>9</c:v>
                </c:pt>
                <c:pt idx="11">
                  <c:v>19</c:v>
                </c:pt>
                <c:pt idx="12">
                  <c:v>17</c:v>
                </c:pt>
              </c:numCache>
            </c:numRef>
          </c:val>
          <c:extLst>
            <c:ext xmlns:c16="http://schemas.microsoft.com/office/drawing/2014/chart" uri="{C3380CC4-5D6E-409C-BE32-E72D297353CC}">
              <c16:uniqueId val="{00000001-CEFF-4430-83BD-12ED591F6094}"/>
            </c:ext>
          </c:extLst>
        </c:ser>
        <c:dLbls>
          <c:showLegendKey val="0"/>
          <c:showVal val="0"/>
          <c:showCatName val="0"/>
          <c:showSerName val="0"/>
          <c:showPercent val="0"/>
          <c:showBubbleSize val="0"/>
        </c:dLbls>
        <c:gapWidth val="219"/>
        <c:overlap val="-27"/>
        <c:axId val="469164080"/>
        <c:axId val="469161784"/>
      </c:barChart>
      <c:dateAx>
        <c:axId val="46916408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161784"/>
        <c:crosses val="autoZero"/>
        <c:auto val="1"/>
        <c:lblOffset val="100"/>
        <c:baseTimeUnit val="months"/>
      </c:dateAx>
      <c:valAx>
        <c:axId val="469161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16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b="1"/>
              <a:t>Autorizații de construire eliberate în semestrul I 2023 pentru clădiri rezidențiale (exclusiv cele pentru colectivități), pe județe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Autorizații de construire eliberate în semestrul I 2023 pentru clădiri rezidențiale (exclusiv cele pentru colectivități), pe județe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31"/>
            <c:invertIfNegative val="0"/>
            <c:bubble3D val="0"/>
            <c:spPr>
              <a:solidFill>
                <a:srgbClr val="C00000"/>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6B6-48D0-9B4E-E9C45EE8A8AE}"/>
              </c:ext>
            </c:extLst>
          </c:dPt>
          <c:cat>
            <c:strRef>
              <c:f>Sheet1!$A$2:$A$43</c:f>
              <c:strCache>
                <c:ptCount val="42"/>
                <c:pt idx="0">
                  <c:v>Caras-Severin</c:v>
                </c:pt>
                <c:pt idx="1">
                  <c:v>Covasna</c:v>
                </c:pt>
                <c:pt idx="2">
                  <c:v>Teleorman</c:v>
                </c:pt>
                <c:pt idx="3">
                  <c:v>Tulcea</c:v>
                </c:pt>
                <c:pt idx="4">
                  <c:v>Braila</c:v>
                </c:pt>
                <c:pt idx="5">
                  <c:v>Hunedoara</c:v>
                </c:pt>
                <c:pt idx="6">
                  <c:v>Mehedinti</c:v>
                </c:pt>
                <c:pt idx="7">
                  <c:v>Municipiul Bucuresti</c:v>
                </c:pt>
                <c:pt idx="8">
                  <c:v>Olt</c:v>
                </c:pt>
                <c:pt idx="9">
                  <c:v>Calarasi</c:v>
                </c:pt>
                <c:pt idx="10">
                  <c:v>Harghita</c:v>
                </c:pt>
                <c:pt idx="11">
                  <c:v>Salaj</c:v>
                </c:pt>
                <c:pt idx="12">
                  <c:v>Valcea</c:v>
                </c:pt>
                <c:pt idx="13">
                  <c:v>Vaslui</c:v>
                </c:pt>
                <c:pt idx="14">
                  <c:v>Ialomita</c:v>
                </c:pt>
                <c:pt idx="15">
                  <c:v>Buzau</c:v>
                </c:pt>
                <c:pt idx="16">
                  <c:v>Mures</c:v>
                </c:pt>
                <c:pt idx="17">
                  <c:v>Gorj</c:v>
                </c:pt>
                <c:pt idx="18">
                  <c:v>Alba</c:v>
                </c:pt>
                <c:pt idx="19">
                  <c:v>Sibiu</c:v>
                </c:pt>
                <c:pt idx="20">
                  <c:v>Bistrita-Nasaud</c:v>
                </c:pt>
                <c:pt idx="21">
                  <c:v>Vrancea</c:v>
                </c:pt>
                <c:pt idx="22">
                  <c:v>Satu Mare</c:v>
                </c:pt>
                <c:pt idx="23">
                  <c:v>Arad</c:v>
                </c:pt>
                <c:pt idx="24">
                  <c:v>Giurgiu</c:v>
                </c:pt>
                <c:pt idx="25">
                  <c:v>Botosani</c:v>
                </c:pt>
                <c:pt idx="26">
                  <c:v>Neamt</c:v>
                </c:pt>
                <c:pt idx="27">
                  <c:v>Bacau</c:v>
                </c:pt>
                <c:pt idx="28">
                  <c:v>Galati</c:v>
                </c:pt>
                <c:pt idx="29">
                  <c:v>Dolj</c:v>
                </c:pt>
                <c:pt idx="30">
                  <c:v>Maramures</c:v>
                </c:pt>
                <c:pt idx="31">
                  <c:v>Prahova</c:v>
                </c:pt>
                <c:pt idx="32">
                  <c:v>Bihor</c:v>
                </c:pt>
                <c:pt idx="33">
                  <c:v>Dambovita</c:v>
                </c:pt>
                <c:pt idx="34">
                  <c:v>Constanta</c:v>
                </c:pt>
                <c:pt idx="35">
                  <c:v>Arges</c:v>
                </c:pt>
                <c:pt idx="36">
                  <c:v>Brasov</c:v>
                </c:pt>
                <c:pt idx="37">
                  <c:v>Iasi</c:v>
                </c:pt>
                <c:pt idx="38">
                  <c:v>Cluj</c:v>
                </c:pt>
                <c:pt idx="39">
                  <c:v>Timis</c:v>
                </c:pt>
                <c:pt idx="40">
                  <c:v>Suceava</c:v>
                </c:pt>
                <c:pt idx="41">
                  <c:v>Ilfov</c:v>
                </c:pt>
              </c:strCache>
            </c:strRef>
          </c:cat>
          <c:val>
            <c:numRef>
              <c:f>Sheet1!$B$2:$B$43</c:f>
              <c:numCache>
                <c:formatCode>General</c:formatCode>
                <c:ptCount val="42"/>
                <c:pt idx="0">
                  <c:v>96</c:v>
                </c:pt>
                <c:pt idx="1">
                  <c:v>105</c:v>
                </c:pt>
                <c:pt idx="2">
                  <c:v>108</c:v>
                </c:pt>
                <c:pt idx="3">
                  <c:v>109</c:v>
                </c:pt>
                <c:pt idx="4">
                  <c:v>138</c:v>
                </c:pt>
                <c:pt idx="5">
                  <c:v>165</c:v>
                </c:pt>
                <c:pt idx="6">
                  <c:v>167</c:v>
                </c:pt>
                <c:pt idx="7">
                  <c:v>174</c:v>
                </c:pt>
                <c:pt idx="8">
                  <c:v>187</c:v>
                </c:pt>
                <c:pt idx="9">
                  <c:v>191</c:v>
                </c:pt>
                <c:pt idx="10">
                  <c:v>206</c:v>
                </c:pt>
                <c:pt idx="11">
                  <c:v>211</c:v>
                </c:pt>
                <c:pt idx="12">
                  <c:v>221</c:v>
                </c:pt>
                <c:pt idx="13">
                  <c:v>235</c:v>
                </c:pt>
                <c:pt idx="14">
                  <c:v>240</c:v>
                </c:pt>
                <c:pt idx="15">
                  <c:v>245</c:v>
                </c:pt>
                <c:pt idx="16">
                  <c:v>261</c:v>
                </c:pt>
                <c:pt idx="17">
                  <c:v>264</c:v>
                </c:pt>
                <c:pt idx="18">
                  <c:v>280</c:v>
                </c:pt>
                <c:pt idx="19">
                  <c:v>313</c:v>
                </c:pt>
                <c:pt idx="20">
                  <c:v>321</c:v>
                </c:pt>
                <c:pt idx="21">
                  <c:v>326</c:v>
                </c:pt>
                <c:pt idx="22">
                  <c:v>327</c:v>
                </c:pt>
                <c:pt idx="23">
                  <c:v>342</c:v>
                </c:pt>
                <c:pt idx="24">
                  <c:v>343</c:v>
                </c:pt>
                <c:pt idx="25">
                  <c:v>397</c:v>
                </c:pt>
                <c:pt idx="26">
                  <c:v>421</c:v>
                </c:pt>
                <c:pt idx="27">
                  <c:v>444</c:v>
                </c:pt>
                <c:pt idx="28">
                  <c:v>446</c:v>
                </c:pt>
                <c:pt idx="29">
                  <c:v>449</c:v>
                </c:pt>
                <c:pt idx="30">
                  <c:v>498</c:v>
                </c:pt>
                <c:pt idx="31">
                  <c:v>552</c:v>
                </c:pt>
                <c:pt idx="32">
                  <c:v>589</c:v>
                </c:pt>
                <c:pt idx="33">
                  <c:v>596</c:v>
                </c:pt>
                <c:pt idx="34">
                  <c:v>643</c:v>
                </c:pt>
                <c:pt idx="35">
                  <c:v>668</c:v>
                </c:pt>
                <c:pt idx="36">
                  <c:v>686</c:v>
                </c:pt>
                <c:pt idx="37">
                  <c:v>853</c:v>
                </c:pt>
                <c:pt idx="38">
                  <c:v>869</c:v>
                </c:pt>
                <c:pt idx="39">
                  <c:v>939</c:v>
                </c:pt>
                <c:pt idx="40">
                  <c:v>1001</c:v>
                </c:pt>
                <c:pt idx="41">
                  <c:v>1514</c:v>
                </c:pt>
              </c:numCache>
            </c:numRef>
          </c:val>
          <c:extLst>
            <c:ext xmlns:c16="http://schemas.microsoft.com/office/drawing/2014/chart" uri="{C3380CC4-5D6E-409C-BE32-E72D297353CC}">
              <c16:uniqueId val="{00000000-36B6-48D0-9B4E-E9C45EE8A8AE}"/>
            </c:ext>
          </c:extLst>
        </c:ser>
        <c:ser>
          <c:idx val="1"/>
          <c:order val="1"/>
          <c:tx>
            <c:strRef>
              <c:f>Sheet1!$C$1</c:f>
              <c:strCache>
                <c:ptCount val="1"/>
                <c:pt idx="0">
                  <c:v>Autorizații de construire eliberate în semestrul I 2023 pentru clădiri rezidențiale (exclusiv cele pentru colectivități), pe județe2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Sheet1!$A$2:$A$43</c:f>
              <c:strCache>
                <c:ptCount val="42"/>
                <c:pt idx="0">
                  <c:v>Caras-Severin</c:v>
                </c:pt>
                <c:pt idx="1">
                  <c:v>Covasna</c:v>
                </c:pt>
                <c:pt idx="2">
                  <c:v>Teleorman</c:v>
                </c:pt>
                <c:pt idx="3">
                  <c:v>Tulcea</c:v>
                </c:pt>
                <c:pt idx="4">
                  <c:v>Braila</c:v>
                </c:pt>
                <c:pt idx="5">
                  <c:v>Hunedoara</c:v>
                </c:pt>
                <c:pt idx="6">
                  <c:v>Mehedinti</c:v>
                </c:pt>
                <c:pt idx="7">
                  <c:v>Municipiul Bucuresti</c:v>
                </c:pt>
                <c:pt idx="8">
                  <c:v>Olt</c:v>
                </c:pt>
                <c:pt idx="9">
                  <c:v>Calarasi</c:v>
                </c:pt>
                <c:pt idx="10">
                  <c:v>Harghita</c:v>
                </c:pt>
                <c:pt idx="11">
                  <c:v>Salaj</c:v>
                </c:pt>
                <c:pt idx="12">
                  <c:v>Valcea</c:v>
                </c:pt>
                <c:pt idx="13">
                  <c:v>Vaslui</c:v>
                </c:pt>
                <c:pt idx="14">
                  <c:v>Ialomita</c:v>
                </c:pt>
                <c:pt idx="15">
                  <c:v>Buzau</c:v>
                </c:pt>
                <c:pt idx="16">
                  <c:v>Mures</c:v>
                </c:pt>
                <c:pt idx="17">
                  <c:v>Gorj</c:v>
                </c:pt>
                <c:pt idx="18">
                  <c:v>Alba</c:v>
                </c:pt>
                <c:pt idx="19">
                  <c:v>Sibiu</c:v>
                </c:pt>
                <c:pt idx="20">
                  <c:v>Bistrita-Nasaud</c:v>
                </c:pt>
                <c:pt idx="21">
                  <c:v>Vrancea</c:v>
                </c:pt>
                <c:pt idx="22">
                  <c:v>Satu Mare</c:v>
                </c:pt>
                <c:pt idx="23">
                  <c:v>Arad</c:v>
                </c:pt>
                <c:pt idx="24">
                  <c:v>Giurgiu</c:v>
                </c:pt>
                <c:pt idx="25">
                  <c:v>Botosani</c:v>
                </c:pt>
                <c:pt idx="26">
                  <c:v>Neamt</c:v>
                </c:pt>
                <c:pt idx="27">
                  <c:v>Bacau</c:v>
                </c:pt>
                <c:pt idx="28">
                  <c:v>Galati</c:v>
                </c:pt>
                <c:pt idx="29">
                  <c:v>Dolj</c:v>
                </c:pt>
                <c:pt idx="30">
                  <c:v>Maramures</c:v>
                </c:pt>
                <c:pt idx="31">
                  <c:v>Prahova</c:v>
                </c:pt>
                <c:pt idx="32">
                  <c:v>Bihor</c:v>
                </c:pt>
                <c:pt idx="33">
                  <c:v>Dambovita</c:v>
                </c:pt>
                <c:pt idx="34">
                  <c:v>Constanta</c:v>
                </c:pt>
                <c:pt idx="35">
                  <c:v>Arges</c:v>
                </c:pt>
                <c:pt idx="36">
                  <c:v>Brasov</c:v>
                </c:pt>
                <c:pt idx="37">
                  <c:v>Iasi</c:v>
                </c:pt>
                <c:pt idx="38">
                  <c:v>Cluj</c:v>
                </c:pt>
                <c:pt idx="39">
                  <c:v>Timis</c:v>
                </c:pt>
                <c:pt idx="40">
                  <c:v>Suceava</c:v>
                </c:pt>
                <c:pt idx="41">
                  <c:v>Ilfov</c:v>
                </c:pt>
              </c:strCache>
            </c:strRef>
          </c:cat>
          <c:val>
            <c:numRef>
              <c:f>Sheet1!$C$2:$C$43</c:f>
              <c:numCache>
                <c:formatCode>General</c:formatCode>
                <c:ptCount val="42"/>
              </c:numCache>
            </c:numRef>
          </c:val>
          <c:extLst>
            <c:ext xmlns:c16="http://schemas.microsoft.com/office/drawing/2014/chart" uri="{C3380CC4-5D6E-409C-BE32-E72D297353CC}">
              <c16:uniqueId val="{00000002-41F1-40FD-8630-CBF34C7668F8}"/>
            </c:ext>
          </c:extLst>
        </c:ser>
        <c:dLbls>
          <c:showLegendKey val="0"/>
          <c:showVal val="0"/>
          <c:showCatName val="0"/>
          <c:showSerName val="0"/>
          <c:showPercent val="0"/>
          <c:showBubbleSize val="0"/>
        </c:dLbls>
        <c:gapWidth val="115"/>
        <c:overlap val="-20"/>
        <c:axId val="641040176"/>
        <c:axId val="641041816"/>
      </c:barChart>
      <c:catAx>
        <c:axId val="6410401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041816"/>
        <c:crosses val="autoZero"/>
        <c:auto val="1"/>
        <c:lblAlgn val="ctr"/>
        <c:lblOffset val="100"/>
        <c:noMultiLvlLbl val="0"/>
      </c:catAx>
      <c:valAx>
        <c:axId val="641041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04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a:pPr>
            <a:r>
              <a:rPr lang="ro-RO" sz="1043">
                <a:latin typeface="+mj-lt"/>
              </a:rPr>
              <a:t>Sosiri și înnoptări în structurile de primire turistică cu funcțiuni de cazare turistică</a:t>
            </a:r>
            <a:r>
              <a:rPr lang="ro-RO" sz="1043" baseline="0">
                <a:latin typeface="+mj-lt"/>
              </a:rPr>
              <a:t> în semestrul I 202</a:t>
            </a:r>
            <a:r>
              <a:rPr lang="en-GB" sz="1043" baseline="0">
                <a:latin typeface="+mj-lt"/>
              </a:rPr>
              <a:t>3</a:t>
            </a:r>
            <a:endParaRPr lang="en-US" sz="1100">
              <a:latin typeface="+mj-lt"/>
            </a:endParaRPr>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sosiri </c:v>
                </c:pt>
              </c:strCache>
            </c:strRef>
          </c:tx>
          <c:invertIfNegative val="0"/>
          <c:dPt>
            <c:idx val="31"/>
            <c:invertIfNegative val="0"/>
            <c:bubble3D val="0"/>
            <c:spPr>
              <a:solidFill>
                <a:schemeClr val="accent4">
                  <a:lumMod val="75000"/>
                </a:schemeClr>
              </a:solidFill>
            </c:spPr>
            <c:extLst>
              <c:ext xmlns:c16="http://schemas.microsoft.com/office/drawing/2014/chart" uri="{C3380CC4-5D6E-409C-BE32-E72D297353CC}">
                <c16:uniqueId val="{00000001-AEDA-4BF8-A264-AA5DC7023FE2}"/>
              </c:ext>
            </c:extLst>
          </c:dPt>
          <c:cat>
            <c:strRef>
              <c:f>Sheet1!$A$2:$A$43</c:f>
              <c:strCache>
                <c:ptCount val="42"/>
                <c:pt idx="0">
                  <c:v>Alba</c:v>
                </c:pt>
                <c:pt idx="1">
                  <c:v>Arad</c:v>
                </c:pt>
                <c:pt idx="2">
                  <c:v>Arges</c:v>
                </c:pt>
                <c:pt idx="3">
                  <c:v>Bacau</c:v>
                </c:pt>
                <c:pt idx="4">
                  <c:v>Bihor</c:v>
                </c:pt>
                <c:pt idx="5">
                  <c:v>Bistrita-Nasaud</c:v>
                </c:pt>
                <c:pt idx="6">
                  <c:v>Botosani</c:v>
                </c:pt>
                <c:pt idx="7">
                  <c:v>Braila</c:v>
                </c:pt>
                <c:pt idx="8">
                  <c:v>Brasov</c:v>
                </c:pt>
                <c:pt idx="9">
                  <c:v>Buzau</c:v>
                </c:pt>
                <c:pt idx="10">
                  <c:v>Calarasi</c:v>
                </c:pt>
                <c:pt idx="11">
                  <c:v>Caras-Severin</c:v>
                </c:pt>
                <c:pt idx="12">
                  <c:v>Cluj</c:v>
                </c:pt>
                <c:pt idx="13">
                  <c:v>Constanta</c:v>
                </c:pt>
                <c:pt idx="14">
                  <c:v>Covasna</c:v>
                </c:pt>
                <c:pt idx="15">
                  <c:v>Dambovita</c:v>
                </c:pt>
                <c:pt idx="16">
                  <c:v>Dolj</c:v>
                </c:pt>
                <c:pt idx="17">
                  <c:v>Galati</c:v>
                </c:pt>
                <c:pt idx="18">
                  <c:v>Giurgiu</c:v>
                </c:pt>
                <c:pt idx="19">
                  <c:v>Gorj</c:v>
                </c:pt>
                <c:pt idx="20">
                  <c:v>Harghita</c:v>
                </c:pt>
                <c:pt idx="21">
                  <c:v>Hunedoara</c:v>
                </c:pt>
                <c:pt idx="22">
                  <c:v>Ialomita</c:v>
                </c:pt>
                <c:pt idx="23">
                  <c:v>Iasi</c:v>
                </c:pt>
                <c:pt idx="24">
                  <c:v>Ilfov</c:v>
                </c:pt>
                <c:pt idx="25">
                  <c:v>Maramures</c:v>
                </c:pt>
                <c:pt idx="26">
                  <c:v>Mehedinti</c:v>
                </c:pt>
                <c:pt idx="27">
                  <c:v>Municipiul Bucuresti</c:v>
                </c:pt>
                <c:pt idx="28">
                  <c:v>Mures</c:v>
                </c:pt>
                <c:pt idx="29">
                  <c:v>Neamt</c:v>
                </c:pt>
                <c:pt idx="30">
                  <c:v>Olt</c:v>
                </c:pt>
                <c:pt idx="31">
                  <c:v>Prahova</c:v>
                </c:pt>
                <c:pt idx="32">
                  <c:v>Salaj</c:v>
                </c:pt>
                <c:pt idx="33">
                  <c:v>Satu Mare</c:v>
                </c:pt>
                <c:pt idx="34">
                  <c:v>Sibiu</c:v>
                </c:pt>
                <c:pt idx="35">
                  <c:v>Suceava</c:v>
                </c:pt>
                <c:pt idx="36">
                  <c:v>Teleorman</c:v>
                </c:pt>
                <c:pt idx="37">
                  <c:v>Timis</c:v>
                </c:pt>
                <c:pt idx="38">
                  <c:v>Tulcea</c:v>
                </c:pt>
                <c:pt idx="39">
                  <c:v>Valcea</c:v>
                </c:pt>
                <c:pt idx="40">
                  <c:v>Vaslui</c:v>
                </c:pt>
                <c:pt idx="41">
                  <c:v>Vrancea</c:v>
                </c:pt>
              </c:strCache>
            </c:strRef>
          </c:cat>
          <c:val>
            <c:numRef>
              <c:f>Sheet1!$B$2:$B$43</c:f>
              <c:numCache>
                <c:formatCode>General</c:formatCode>
                <c:ptCount val="42"/>
                <c:pt idx="0">
                  <c:v>102188</c:v>
                </c:pt>
                <c:pt idx="1">
                  <c:v>102109</c:v>
                </c:pt>
                <c:pt idx="2">
                  <c:v>103255</c:v>
                </c:pt>
                <c:pt idx="3">
                  <c:v>79189</c:v>
                </c:pt>
                <c:pt idx="4">
                  <c:v>240234</c:v>
                </c:pt>
                <c:pt idx="5">
                  <c:v>45602</c:v>
                </c:pt>
                <c:pt idx="6">
                  <c:v>23159</c:v>
                </c:pt>
                <c:pt idx="7">
                  <c:v>33964</c:v>
                </c:pt>
                <c:pt idx="8">
                  <c:v>667670</c:v>
                </c:pt>
                <c:pt idx="9">
                  <c:v>39075</c:v>
                </c:pt>
                <c:pt idx="10">
                  <c:v>8271</c:v>
                </c:pt>
                <c:pt idx="11">
                  <c:v>96497</c:v>
                </c:pt>
                <c:pt idx="12">
                  <c:v>317426</c:v>
                </c:pt>
                <c:pt idx="13">
                  <c:v>331638</c:v>
                </c:pt>
                <c:pt idx="14">
                  <c:v>73589</c:v>
                </c:pt>
                <c:pt idx="15">
                  <c:v>59229</c:v>
                </c:pt>
                <c:pt idx="16">
                  <c:v>81080</c:v>
                </c:pt>
                <c:pt idx="17">
                  <c:v>51265</c:v>
                </c:pt>
                <c:pt idx="18">
                  <c:v>12076</c:v>
                </c:pt>
                <c:pt idx="19">
                  <c:v>59191</c:v>
                </c:pt>
                <c:pt idx="20">
                  <c:v>99344</c:v>
                </c:pt>
                <c:pt idx="21">
                  <c:v>60985</c:v>
                </c:pt>
                <c:pt idx="22">
                  <c:v>19655</c:v>
                </c:pt>
                <c:pt idx="23">
                  <c:v>186647</c:v>
                </c:pt>
                <c:pt idx="24">
                  <c:v>98753</c:v>
                </c:pt>
                <c:pt idx="25">
                  <c:v>117069</c:v>
                </c:pt>
                <c:pt idx="26">
                  <c:v>42301</c:v>
                </c:pt>
                <c:pt idx="27">
                  <c:v>867049</c:v>
                </c:pt>
                <c:pt idx="28">
                  <c:v>207438</c:v>
                </c:pt>
                <c:pt idx="29">
                  <c:v>109267</c:v>
                </c:pt>
                <c:pt idx="30">
                  <c:v>15021</c:v>
                </c:pt>
                <c:pt idx="31">
                  <c:v>276689</c:v>
                </c:pt>
                <c:pt idx="32">
                  <c:v>16211</c:v>
                </c:pt>
                <c:pt idx="33">
                  <c:v>86868</c:v>
                </c:pt>
                <c:pt idx="34">
                  <c:v>227379</c:v>
                </c:pt>
                <c:pt idx="35">
                  <c:v>221860</c:v>
                </c:pt>
                <c:pt idx="36">
                  <c:v>2139</c:v>
                </c:pt>
                <c:pt idx="37">
                  <c:v>152467</c:v>
                </c:pt>
                <c:pt idx="38">
                  <c:v>45054</c:v>
                </c:pt>
                <c:pt idx="39">
                  <c:v>194023</c:v>
                </c:pt>
                <c:pt idx="40">
                  <c:v>22612</c:v>
                </c:pt>
                <c:pt idx="41">
                  <c:v>21097</c:v>
                </c:pt>
              </c:numCache>
            </c:numRef>
          </c:val>
          <c:extLst>
            <c:ext xmlns:c16="http://schemas.microsoft.com/office/drawing/2014/chart" uri="{C3380CC4-5D6E-409C-BE32-E72D297353CC}">
              <c16:uniqueId val="{00000002-AEDA-4BF8-A264-AA5DC7023FE2}"/>
            </c:ext>
          </c:extLst>
        </c:ser>
        <c:ser>
          <c:idx val="1"/>
          <c:order val="1"/>
          <c:tx>
            <c:strRef>
              <c:f>Sheet1!$C$1</c:f>
              <c:strCache>
                <c:ptCount val="1"/>
                <c:pt idx="0">
                  <c:v>înnoptări </c:v>
                </c:pt>
              </c:strCache>
            </c:strRef>
          </c:tx>
          <c:invertIfNegative val="0"/>
          <c:dPt>
            <c:idx val="31"/>
            <c:invertIfNegative val="0"/>
            <c:bubble3D val="0"/>
            <c:spPr>
              <a:solidFill>
                <a:schemeClr val="accent4">
                  <a:lumMod val="60000"/>
                  <a:lumOff val="40000"/>
                </a:schemeClr>
              </a:solidFill>
            </c:spPr>
            <c:extLst>
              <c:ext xmlns:c16="http://schemas.microsoft.com/office/drawing/2014/chart" uri="{C3380CC4-5D6E-409C-BE32-E72D297353CC}">
                <c16:uniqueId val="{00000004-AEDA-4BF8-A264-AA5DC7023FE2}"/>
              </c:ext>
            </c:extLst>
          </c:dPt>
          <c:cat>
            <c:strRef>
              <c:f>Sheet1!$A$2:$A$43</c:f>
              <c:strCache>
                <c:ptCount val="42"/>
                <c:pt idx="0">
                  <c:v>Alba</c:v>
                </c:pt>
                <c:pt idx="1">
                  <c:v>Arad</c:v>
                </c:pt>
                <c:pt idx="2">
                  <c:v>Arges</c:v>
                </c:pt>
                <c:pt idx="3">
                  <c:v>Bacau</c:v>
                </c:pt>
                <c:pt idx="4">
                  <c:v>Bihor</c:v>
                </c:pt>
                <c:pt idx="5">
                  <c:v>Bistrita-Nasaud</c:v>
                </c:pt>
                <c:pt idx="6">
                  <c:v>Botosani</c:v>
                </c:pt>
                <c:pt idx="7">
                  <c:v>Braila</c:v>
                </c:pt>
                <c:pt idx="8">
                  <c:v>Brasov</c:v>
                </c:pt>
                <c:pt idx="9">
                  <c:v>Buzau</c:v>
                </c:pt>
                <c:pt idx="10">
                  <c:v>Calarasi</c:v>
                </c:pt>
                <c:pt idx="11">
                  <c:v>Caras-Severin</c:v>
                </c:pt>
                <c:pt idx="12">
                  <c:v>Cluj</c:v>
                </c:pt>
                <c:pt idx="13">
                  <c:v>Constanta</c:v>
                </c:pt>
                <c:pt idx="14">
                  <c:v>Covasna</c:v>
                </c:pt>
                <c:pt idx="15">
                  <c:v>Dambovita</c:v>
                </c:pt>
                <c:pt idx="16">
                  <c:v>Dolj</c:v>
                </c:pt>
                <c:pt idx="17">
                  <c:v>Galati</c:v>
                </c:pt>
                <c:pt idx="18">
                  <c:v>Giurgiu</c:v>
                </c:pt>
                <c:pt idx="19">
                  <c:v>Gorj</c:v>
                </c:pt>
                <c:pt idx="20">
                  <c:v>Harghita</c:v>
                </c:pt>
                <c:pt idx="21">
                  <c:v>Hunedoara</c:v>
                </c:pt>
                <c:pt idx="22">
                  <c:v>Ialomita</c:v>
                </c:pt>
                <c:pt idx="23">
                  <c:v>Iasi</c:v>
                </c:pt>
                <c:pt idx="24">
                  <c:v>Ilfov</c:v>
                </c:pt>
                <c:pt idx="25">
                  <c:v>Maramures</c:v>
                </c:pt>
                <c:pt idx="26">
                  <c:v>Mehedinti</c:v>
                </c:pt>
                <c:pt idx="27">
                  <c:v>Municipiul Bucuresti</c:v>
                </c:pt>
                <c:pt idx="28">
                  <c:v>Mures</c:v>
                </c:pt>
                <c:pt idx="29">
                  <c:v>Neamt</c:v>
                </c:pt>
                <c:pt idx="30">
                  <c:v>Olt</c:v>
                </c:pt>
                <c:pt idx="31">
                  <c:v>Prahova</c:v>
                </c:pt>
                <c:pt idx="32">
                  <c:v>Salaj</c:v>
                </c:pt>
                <c:pt idx="33">
                  <c:v>Satu Mare</c:v>
                </c:pt>
                <c:pt idx="34">
                  <c:v>Sibiu</c:v>
                </c:pt>
                <c:pt idx="35">
                  <c:v>Suceava</c:v>
                </c:pt>
                <c:pt idx="36">
                  <c:v>Teleorman</c:v>
                </c:pt>
                <c:pt idx="37">
                  <c:v>Timis</c:v>
                </c:pt>
                <c:pt idx="38">
                  <c:v>Tulcea</c:v>
                </c:pt>
                <c:pt idx="39">
                  <c:v>Valcea</c:v>
                </c:pt>
                <c:pt idx="40">
                  <c:v>Vaslui</c:v>
                </c:pt>
                <c:pt idx="41">
                  <c:v>Vrancea</c:v>
                </c:pt>
              </c:strCache>
            </c:strRef>
          </c:cat>
          <c:val>
            <c:numRef>
              <c:f>Sheet1!$C$2:$C$43</c:f>
              <c:numCache>
                <c:formatCode>General</c:formatCode>
                <c:ptCount val="42"/>
                <c:pt idx="0">
                  <c:v>184673</c:v>
                </c:pt>
                <c:pt idx="1">
                  <c:v>138020</c:v>
                </c:pt>
                <c:pt idx="2">
                  <c:v>166822</c:v>
                </c:pt>
                <c:pt idx="3">
                  <c:v>155583</c:v>
                </c:pt>
                <c:pt idx="4">
                  <c:v>575279</c:v>
                </c:pt>
                <c:pt idx="5">
                  <c:v>75225</c:v>
                </c:pt>
                <c:pt idx="6">
                  <c:v>33436</c:v>
                </c:pt>
                <c:pt idx="7">
                  <c:v>80450</c:v>
                </c:pt>
                <c:pt idx="8">
                  <c:v>1246013</c:v>
                </c:pt>
                <c:pt idx="9">
                  <c:v>70284</c:v>
                </c:pt>
                <c:pt idx="10">
                  <c:v>14694</c:v>
                </c:pt>
                <c:pt idx="11">
                  <c:v>234528</c:v>
                </c:pt>
                <c:pt idx="12">
                  <c:v>549039</c:v>
                </c:pt>
                <c:pt idx="13">
                  <c:v>897837</c:v>
                </c:pt>
                <c:pt idx="14">
                  <c:v>237044</c:v>
                </c:pt>
                <c:pt idx="15">
                  <c:v>140607</c:v>
                </c:pt>
                <c:pt idx="16">
                  <c:v>132349</c:v>
                </c:pt>
                <c:pt idx="17">
                  <c:v>77046</c:v>
                </c:pt>
                <c:pt idx="18">
                  <c:v>25193</c:v>
                </c:pt>
                <c:pt idx="19">
                  <c:v>93149</c:v>
                </c:pt>
                <c:pt idx="20">
                  <c:v>232852</c:v>
                </c:pt>
                <c:pt idx="21">
                  <c:v>108233</c:v>
                </c:pt>
                <c:pt idx="22">
                  <c:v>69998</c:v>
                </c:pt>
                <c:pt idx="23">
                  <c:v>300038</c:v>
                </c:pt>
                <c:pt idx="24">
                  <c:v>135532</c:v>
                </c:pt>
                <c:pt idx="25">
                  <c:v>202265</c:v>
                </c:pt>
                <c:pt idx="26">
                  <c:v>82355</c:v>
                </c:pt>
                <c:pt idx="27">
                  <c:v>1745134</c:v>
                </c:pt>
                <c:pt idx="28">
                  <c:v>389967</c:v>
                </c:pt>
                <c:pt idx="29">
                  <c:v>189174</c:v>
                </c:pt>
                <c:pt idx="30">
                  <c:v>23374</c:v>
                </c:pt>
                <c:pt idx="31">
                  <c:v>558731</c:v>
                </c:pt>
                <c:pt idx="32">
                  <c:v>31791</c:v>
                </c:pt>
                <c:pt idx="33">
                  <c:v>106042</c:v>
                </c:pt>
                <c:pt idx="34">
                  <c:v>375697</c:v>
                </c:pt>
                <c:pt idx="35">
                  <c:v>443366</c:v>
                </c:pt>
                <c:pt idx="36">
                  <c:v>3827</c:v>
                </c:pt>
                <c:pt idx="37">
                  <c:v>319536</c:v>
                </c:pt>
                <c:pt idx="38">
                  <c:v>88871</c:v>
                </c:pt>
                <c:pt idx="39">
                  <c:v>482017</c:v>
                </c:pt>
                <c:pt idx="40">
                  <c:v>31269</c:v>
                </c:pt>
                <c:pt idx="41">
                  <c:v>31444</c:v>
                </c:pt>
              </c:numCache>
            </c:numRef>
          </c:val>
          <c:extLst>
            <c:ext xmlns:c16="http://schemas.microsoft.com/office/drawing/2014/chart" uri="{C3380CC4-5D6E-409C-BE32-E72D297353CC}">
              <c16:uniqueId val="{00000005-AEDA-4BF8-A264-AA5DC7023FE2}"/>
            </c:ext>
          </c:extLst>
        </c:ser>
        <c:dLbls>
          <c:showLegendKey val="0"/>
          <c:showVal val="0"/>
          <c:showCatName val="0"/>
          <c:showSerName val="0"/>
          <c:showPercent val="0"/>
          <c:showBubbleSize val="0"/>
        </c:dLbls>
        <c:gapWidth val="75"/>
        <c:shape val="box"/>
        <c:axId val="214812928"/>
        <c:axId val="215109632"/>
        <c:axId val="0"/>
      </c:bar3DChart>
      <c:catAx>
        <c:axId val="214812928"/>
        <c:scaling>
          <c:orientation val="minMax"/>
        </c:scaling>
        <c:delete val="0"/>
        <c:axPos val="l"/>
        <c:numFmt formatCode="General" sourceLinked="1"/>
        <c:majorTickMark val="none"/>
        <c:minorTickMark val="none"/>
        <c:tickLblPos val="nextTo"/>
        <c:spPr>
          <a:noFill/>
        </c:spPr>
        <c:txPr>
          <a:bodyPr anchor="ctr" anchorCtr="0"/>
          <a:lstStyle/>
          <a:p>
            <a:pPr>
              <a:defRPr sz="759" b="0" i="0" normalizeH="0" baseline="0">
                <a:latin typeface="Cambria" pitchFamily="18" charset="0"/>
              </a:defRPr>
            </a:pPr>
            <a:endParaRPr lang="en-US"/>
          </a:p>
        </c:txPr>
        <c:crossAx val="215109632"/>
        <c:crosses val="autoZero"/>
        <c:auto val="1"/>
        <c:lblAlgn val="ctr"/>
        <c:lblOffset val="100"/>
        <c:noMultiLvlLbl val="0"/>
      </c:catAx>
      <c:valAx>
        <c:axId val="215109632"/>
        <c:scaling>
          <c:orientation val="minMax"/>
        </c:scaling>
        <c:delete val="0"/>
        <c:axPos val="b"/>
        <c:majorGridlines/>
        <c:numFmt formatCode="General" sourceLinked="1"/>
        <c:majorTickMark val="none"/>
        <c:minorTickMark val="none"/>
        <c:tickLblPos val="nextTo"/>
        <c:txPr>
          <a:bodyPr/>
          <a:lstStyle/>
          <a:p>
            <a:pPr>
              <a:defRPr sz="759" baseline="0">
                <a:latin typeface="Arial" pitchFamily="34" charset="0"/>
              </a:defRPr>
            </a:pPr>
            <a:endParaRPr lang="en-US"/>
          </a:p>
        </c:txPr>
        <c:crossAx val="214812928"/>
        <c:crosses val="autoZero"/>
        <c:crossBetween val="between"/>
      </c:valAx>
      <c:spPr>
        <a:noFill/>
        <a:ln w="24088">
          <a:noFill/>
        </a:ln>
      </c:spPr>
    </c:plotArea>
    <c:legend>
      <c:legendPos val="b"/>
      <c:layout>
        <c:manualLayout>
          <c:xMode val="edge"/>
          <c:yMode val="edge"/>
          <c:x val="0.32142466062709901"/>
          <c:y val="0.95736309814525833"/>
          <c:w val="0.27040974716870064"/>
          <c:h val="3.0981929074296866E-2"/>
        </c:manualLayout>
      </c:layout>
      <c:overlay val="0"/>
      <c:txPr>
        <a:bodyPr/>
        <a:lstStyle/>
        <a:p>
          <a:pPr>
            <a:defRPr sz="854" baseline="0">
              <a:latin typeface="Arial" pitchFamily="34" charset="0"/>
            </a:defRPr>
          </a:pPr>
          <a:endParaRPr lang="en-US"/>
        </a:p>
      </c:txPr>
    </c:legend>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4739-4128-85B4-DB6F143E8DD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4739-4128-85B4-DB6F143E8DD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4739-4128-85B4-DB6F143E8DD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4-4739-4128-85B4-DB6F143E8DD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4739-4128-85B4-DB6F143E8DD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6-4739-4128-85B4-DB6F143E8DD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4739-4128-85B4-DB6F143E8DD8}"/>
              </c:ext>
            </c:extLst>
          </c:dPt>
          <c:cat>
            <c:strRef>
              <c:f>Sheet1!$A$2:$A$8</c:f>
              <c:strCache>
                <c:ptCount val="7"/>
                <c:pt idx="0">
                  <c:v>Hoteluri</c:v>
                </c:pt>
                <c:pt idx="1">
                  <c:v>Moteluri</c:v>
                </c:pt>
                <c:pt idx="2">
                  <c:v>Vile turistice</c:v>
                </c:pt>
                <c:pt idx="3">
                  <c:v>Cabane turistice</c:v>
                </c:pt>
                <c:pt idx="4">
                  <c:v>Pensiuni turistice </c:v>
                </c:pt>
                <c:pt idx="5">
                  <c:v>Pensiuni agroturistice </c:v>
                </c:pt>
                <c:pt idx="6">
                  <c:v>Apartamente și camere de închiriat</c:v>
                </c:pt>
              </c:strCache>
            </c:strRef>
          </c:cat>
          <c:val>
            <c:numRef>
              <c:f>Sheet1!$B$2:$B$8</c:f>
              <c:numCache>
                <c:formatCode>General</c:formatCode>
                <c:ptCount val="7"/>
                <c:pt idx="0">
                  <c:v>173315</c:v>
                </c:pt>
                <c:pt idx="1">
                  <c:v>7411</c:v>
                </c:pt>
                <c:pt idx="2">
                  <c:v>23231</c:v>
                </c:pt>
                <c:pt idx="3">
                  <c:v>3943</c:v>
                </c:pt>
                <c:pt idx="4">
                  <c:v>25251</c:v>
                </c:pt>
                <c:pt idx="5">
                  <c:v>11387</c:v>
                </c:pt>
                <c:pt idx="6">
                  <c:v>27626</c:v>
                </c:pt>
              </c:numCache>
            </c:numRef>
          </c:val>
          <c:extLst>
            <c:ext xmlns:c16="http://schemas.microsoft.com/office/drawing/2014/chart" uri="{C3380CC4-5D6E-409C-BE32-E72D297353CC}">
              <c16:uniqueId val="{00000000-4739-4128-85B4-DB6F143E8DD8}"/>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945314028120833E-2"/>
          <c:y val="0"/>
          <c:w val="0.93787906494357187"/>
          <c:h val="0.69888953791755259"/>
        </c:manualLayout>
      </c:layout>
      <c:lineChart>
        <c:grouping val="standard"/>
        <c:varyColors val="0"/>
        <c:ser>
          <c:idx val="0"/>
          <c:order val="0"/>
          <c:tx>
            <c:strRef>
              <c:f>Sheet1!$B$1</c:f>
              <c:strCache>
                <c:ptCount val="1"/>
                <c:pt idx="0">
                  <c:v>TOTAL ROMANIA</c:v>
                </c:pt>
              </c:strCache>
            </c:strRef>
          </c:tx>
          <c:spPr>
            <a:ln w="19086"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6"/>
              <c:layout>
                <c:manualLayout>
                  <c:x val="-4.2767772511848344E-2"/>
                  <c:y val="-2.7569909413154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B4-48E3-B7E7-8097007964F0}"/>
                </c:ext>
              </c:extLst>
            </c:dLbl>
            <c:dLbl>
              <c:idx val="7"/>
              <c:layout>
                <c:manualLayout>
                  <c:x val="-3.1281113557487916E-2"/>
                  <c:y val="4.3324143363528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B4-48E3-B7E7-8097007964F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2"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Sheet1!$B$2:$B$14</c:f>
              <c:numCache>
                <c:formatCode>General</c:formatCode>
                <c:ptCount val="13"/>
                <c:pt idx="0">
                  <c:v>30.1</c:v>
                </c:pt>
                <c:pt idx="1">
                  <c:v>38.700000000000003</c:v>
                </c:pt>
                <c:pt idx="2">
                  <c:v>45.1</c:v>
                </c:pt>
                <c:pt idx="3">
                  <c:v>31</c:v>
                </c:pt>
                <c:pt idx="4">
                  <c:v>30.5</c:v>
                </c:pt>
                <c:pt idx="5">
                  <c:v>26.6</c:v>
                </c:pt>
                <c:pt idx="6">
                  <c:v>25.2</c:v>
                </c:pt>
                <c:pt idx="7">
                  <c:v>22.4</c:v>
                </c:pt>
                <c:pt idx="8">
                  <c:v>25.7</c:v>
                </c:pt>
                <c:pt idx="9">
                  <c:v>22.6</c:v>
                </c:pt>
                <c:pt idx="10">
                  <c:v>24.9</c:v>
                </c:pt>
                <c:pt idx="11">
                  <c:v>26.7</c:v>
                </c:pt>
                <c:pt idx="12">
                  <c:v>30.6</c:v>
                </c:pt>
              </c:numCache>
            </c:numRef>
          </c:val>
          <c:smooth val="0"/>
          <c:extLst>
            <c:ext xmlns:c16="http://schemas.microsoft.com/office/drawing/2014/chart" uri="{C3380CC4-5D6E-409C-BE32-E72D297353CC}">
              <c16:uniqueId val="{00000002-8CB4-48E3-B7E7-8097007964F0}"/>
            </c:ext>
          </c:extLst>
        </c:ser>
        <c:ser>
          <c:idx val="1"/>
          <c:order val="1"/>
          <c:tx>
            <c:strRef>
              <c:f>Sheet1!$C$1</c:f>
              <c:strCache>
                <c:ptCount val="1"/>
                <c:pt idx="0">
                  <c:v>PRAHOVA</c:v>
                </c:pt>
              </c:strCache>
            </c:strRef>
          </c:tx>
          <c:spPr>
            <a:ln w="19086" cap="rnd" cmpd="sng" algn="ctr">
              <a:solidFill>
                <a:srgbClr val="92D050"/>
              </a:solidFill>
              <a:round/>
            </a:ln>
            <a:effectLst/>
          </c:spPr>
          <c:marker>
            <c:symbol val="circle"/>
            <c:size val="17"/>
            <c:spPr>
              <a:solidFill>
                <a:schemeClr val="lt1"/>
              </a:solidFill>
              <a:ln>
                <a:solidFill>
                  <a:srgbClr val="92D050"/>
                </a:solidFill>
              </a:ln>
              <a:effectLst/>
            </c:spPr>
          </c:marker>
          <c:dLbls>
            <c:dLbl>
              <c:idx val="6"/>
              <c:layout>
                <c:manualLayout>
                  <c:x val="-4.619442474903921E-2"/>
                  <c:y val="2.7569909413154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B4-48E3-B7E7-8097007964F0}"/>
                </c:ext>
              </c:extLst>
            </c:dLbl>
            <c:dLbl>
              <c:idx val="7"/>
              <c:layout>
                <c:manualLayout>
                  <c:x val="-2.5286561928574234E-2"/>
                  <c:y val="-1.2084551857169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B4-48E3-B7E7-8097007964F0}"/>
                </c:ext>
              </c:extLst>
            </c:dLbl>
            <c:numFmt formatCode="#,##0.0" sourceLinked="0"/>
            <c:spPr>
              <a:noFill/>
              <a:ln>
                <a:noFill/>
              </a:ln>
              <a:effectLst/>
            </c:spPr>
            <c:txPr>
              <a:bodyPr rot="0" vert="horz" lIns="38100" tIns="19050" rIns="38100" bIns="19050">
                <a:spAutoFit/>
              </a:bodyPr>
              <a:lstStyle/>
              <a:p>
                <a:pPr>
                  <a:defRPr>
                    <a:solidFill>
                      <a:srgbClr val="00B05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Sheet1!$C$2:$C$14</c:f>
              <c:numCache>
                <c:formatCode>General</c:formatCode>
                <c:ptCount val="13"/>
                <c:pt idx="0">
                  <c:v>24.7</c:v>
                </c:pt>
                <c:pt idx="1">
                  <c:v>31.3</c:v>
                </c:pt>
                <c:pt idx="2">
                  <c:v>39.6</c:v>
                </c:pt>
                <c:pt idx="3">
                  <c:v>27.2</c:v>
                </c:pt>
                <c:pt idx="4">
                  <c:v>27.2</c:v>
                </c:pt>
                <c:pt idx="5">
                  <c:v>22.7</c:v>
                </c:pt>
                <c:pt idx="6">
                  <c:v>24.4</c:v>
                </c:pt>
                <c:pt idx="7">
                  <c:v>24.4</c:v>
                </c:pt>
                <c:pt idx="8">
                  <c:v>30.8</c:v>
                </c:pt>
                <c:pt idx="9">
                  <c:v>20.7</c:v>
                </c:pt>
                <c:pt idx="10">
                  <c:v>22</c:v>
                </c:pt>
                <c:pt idx="11">
                  <c:v>23.1</c:v>
                </c:pt>
                <c:pt idx="12">
                  <c:v>25.9</c:v>
                </c:pt>
              </c:numCache>
            </c:numRef>
          </c:val>
          <c:smooth val="0"/>
          <c:extLst>
            <c:ext xmlns:c16="http://schemas.microsoft.com/office/drawing/2014/chart" uri="{C3380CC4-5D6E-409C-BE32-E72D297353CC}">
              <c16:uniqueId val="{00000005-8CB4-48E3-B7E7-8097007964F0}"/>
            </c:ext>
          </c:extLst>
        </c:ser>
        <c:dLbls>
          <c:showLegendKey val="0"/>
          <c:showVal val="0"/>
          <c:showCatName val="0"/>
          <c:showSerName val="0"/>
          <c:showPercent val="0"/>
          <c:showBubbleSize val="0"/>
        </c:dLbls>
        <c:marker val="1"/>
        <c:smooth val="0"/>
        <c:axId val="164393672"/>
        <c:axId val="1"/>
      </c:lineChart>
      <c:dateAx>
        <c:axId val="164393672"/>
        <c:scaling>
          <c:orientation val="minMax"/>
        </c:scaling>
        <c:delete val="0"/>
        <c:axPos val="b"/>
        <c:numFmt formatCode="mmm\-yy" sourceLinked="0"/>
        <c:majorTickMark val="none"/>
        <c:minorTickMark val="none"/>
        <c:tickLblPos val="nextTo"/>
        <c:spPr>
          <a:noFill/>
          <a:ln w="9543" cap="flat" cmpd="sng" algn="ctr">
            <a:solidFill>
              <a:schemeClr val="dk1">
                <a:lumMod val="15000"/>
                <a:lumOff val="85000"/>
              </a:schemeClr>
            </a:solidFill>
            <a:round/>
          </a:ln>
          <a:effectLst/>
        </c:spPr>
        <c:txPr>
          <a:bodyPr rot="-60000000" spcFirstLastPara="1" vertOverflow="ellipsis" vert="horz" wrap="square" anchor="ctr" anchorCtr="1"/>
          <a:lstStyle/>
          <a:p>
            <a:pPr>
              <a:defRPr sz="1002" b="0" i="0" u="none" strike="noStrike" kern="1200" baseline="0">
                <a:solidFill>
                  <a:schemeClr val="dk1">
                    <a:lumMod val="65000"/>
                    <a:lumOff val="35000"/>
                  </a:schemeClr>
                </a:solidFill>
                <a:latin typeface="+mn-lt"/>
                <a:ea typeface="+mn-ea"/>
                <a:cs typeface="+mn-cs"/>
              </a:defRPr>
            </a:pPr>
            <a:endParaRPr lang="en-US"/>
          </a:p>
        </c:txPr>
        <c:crossAx val="1"/>
        <c:crosses val="autoZero"/>
        <c:auto val="1"/>
        <c:lblOffset val="100"/>
        <c:baseTimeUnit val="months"/>
      </c:dateAx>
      <c:valAx>
        <c:axId val="1"/>
        <c:scaling>
          <c:orientation val="minMax"/>
        </c:scaling>
        <c:delete val="1"/>
        <c:axPos val="l"/>
        <c:title>
          <c:tx>
            <c:rich>
              <a:bodyPr/>
              <a:lstStyle/>
              <a:p>
                <a:pPr>
                  <a:defRPr sz="902" b="0" i="0" u="none" strike="noStrike" baseline="0">
                    <a:solidFill>
                      <a:srgbClr val="333333"/>
                    </a:solidFill>
                    <a:latin typeface="Calibri"/>
                    <a:ea typeface="Calibri"/>
                    <a:cs typeface="Calibri"/>
                  </a:defRPr>
                </a:pPr>
                <a:r>
                  <a:rPr lang="en-US"/>
                  <a:t>%</a:t>
                </a:r>
              </a:p>
            </c:rich>
          </c:tx>
          <c:overlay val="0"/>
          <c:spPr>
            <a:noFill/>
            <a:ln>
              <a:noFill/>
            </a:ln>
            <a:effectLst/>
          </c:spPr>
        </c:title>
        <c:numFmt formatCode="General" sourceLinked="1"/>
        <c:majorTickMark val="out"/>
        <c:minorTickMark val="none"/>
        <c:tickLblPos val="nextTo"/>
        <c:crossAx val="164393672"/>
        <c:crosses val="autoZero"/>
        <c:crossBetween val="between"/>
      </c:valAx>
      <c:spPr>
        <a:noFill/>
        <a:ln w="25448">
          <a:noFill/>
        </a:ln>
      </c:spPr>
    </c:plotArea>
    <c:legend>
      <c:legendPos val="b"/>
      <c:overlay val="0"/>
      <c:spPr>
        <a:noFill/>
        <a:ln>
          <a:noFill/>
        </a:ln>
        <a:effectLst/>
      </c:spPr>
      <c:txPr>
        <a:bodyPr rot="0" spcFirstLastPara="1" vertOverflow="ellipsis" vert="horz" wrap="square" anchor="ctr" anchorCtr="1"/>
        <a:lstStyle/>
        <a:p>
          <a:pPr>
            <a:defRPr sz="902"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43"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24569598291737E-2"/>
          <c:y val="0.12474334573209024"/>
          <c:w val="0.57688295742693185"/>
          <c:h val="0.87500030362528591"/>
        </c:manualLayout>
      </c:layout>
      <c:pie3DChart>
        <c:varyColors val="1"/>
        <c:ser>
          <c:idx val="0"/>
          <c:order val="0"/>
          <c:tx>
            <c:strRef>
              <c:f>Sheet1!$B$1</c:f>
              <c:strCache>
                <c:ptCount val="1"/>
                <c:pt idx="0">
                  <c:v>Capacitatea de cazare turistică, în sem. 1 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D46-49A4-A9B1-83B84244151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AD46-49A4-A9B1-83B84244151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D46-49A4-A9B1-83B84244151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AD46-49A4-A9B1-83B84244151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D46-49A4-A9B1-83B84244151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AD46-49A4-A9B1-83B84244151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D46-49A4-A9B1-83B84244151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300-46AD-AE63-D2CA60612B9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300-46AD-AE63-D2CA60612B95}"/>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F300-46AD-AE63-D2CA60612B95}"/>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300-46AD-AE63-D2CA60612B95}"/>
              </c:ext>
            </c:extLst>
          </c:dPt>
          <c:dLbls>
            <c:dLbl>
              <c:idx val="0"/>
              <c:layout>
                <c:manualLayout>
                  <c:x val="-9.4909915921526755E-2"/>
                  <c:y val="-0.2586986135935461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46-49A4-A9B1-83B842441517}"/>
                </c:ext>
              </c:extLst>
            </c:dLbl>
            <c:dLbl>
              <c:idx val="1"/>
              <c:layout>
                <c:manualLayout>
                  <c:x val="0.12526535877930514"/>
                  <c:y val="7.3445727259552679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D46-49A4-A9B1-83B842441517}"/>
                </c:ext>
              </c:extLst>
            </c:dLbl>
            <c:dLbl>
              <c:idx val="2"/>
              <c:layout>
                <c:manualLayout>
                  <c:x val="5.8908136482939633E-2"/>
                  <c:y val="4.464905077049417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46-49A4-A9B1-83B842441517}"/>
                </c:ext>
              </c:extLst>
            </c:dLbl>
            <c:dLbl>
              <c:idx val="3"/>
              <c:layout>
                <c:manualLayout>
                  <c:x val="6.046567907825081E-2"/>
                  <c:y val="6.445717598183663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D46-49A4-A9B1-83B842441517}"/>
                </c:ext>
              </c:extLst>
            </c:dLbl>
            <c:dLbl>
              <c:idx val="4"/>
              <c:layout>
                <c:manualLayout>
                  <c:x val="4.0169936385070514E-2"/>
                  <c:y val="0.1267266315636925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46-49A4-A9B1-83B842441517}"/>
                </c:ext>
              </c:extLst>
            </c:dLbl>
            <c:dLbl>
              <c:idx val="5"/>
              <c:layout>
                <c:manualLayout>
                  <c:x val="-2.8943102451176653E-2"/>
                  <c:y val="0.1046117578860924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D46-49A4-A9B1-83B842441517}"/>
                </c:ext>
              </c:extLst>
            </c:dLbl>
            <c:dLbl>
              <c:idx val="6"/>
              <c:layout>
                <c:manualLayout>
                  <c:x val="-5.4267182703856935E-2"/>
                  <c:y val="4.661765132119230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46-49A4-A9B1-83B842441517}"/>
                </c:ext>
              </c:extLst>
            </c:dLbl>
            <c:dLbl>
              <c:idx val="7"/>
              <c:layout>
                <c:manualLayout>
                  <c:x val="-5.638329107166689E-2"/>
                  <c:y val="-4.076440751654509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F300-46AD-AE63-D2CA60612B95}"/>
                </c:ext>
              </c:extLst>
            </c:dLbl>
            <c:dLbl>
              <c:idx val="8"/>
              <c:layout>
                <c:manualLayout>
                  <c:x val="-7.5366341919124516E-3"/>
                  <c:y val="-0.1553231244867397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300-46AD-AE63-D2CA60612B95}"/>
                </c:ext>
              </c:extLst>
            </c:dLbl>
            <c:dLbl>
              <c:idx val="9"/>
              <c:layout>
                <c:manualLayout>
                  <c:x val="-6.209706837492771E-3"/>
                  <c:y val="-0.1121824066470218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F300-46AD-AE63-D2CA60612B95}"/>
                </c:ext>
              </c:extLst>
            </c:dLbl>
            <c:dLbl>
              <c:idx val="10"/>
              <c:layout>
                <c:manualLayout>
                  <c:x val="1.8210507584856976E-2"/>
                  <c:y val="-8.535664943722524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300-46AD-AE63-D2CA60612B9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Hoteluri</c:v>
                </c:pt>
                <c:pt idx="1">
                  <c:v>Hosteluri</c:v>
                </c:pt>
                <c:pt idx="2">
                  <c:v>Moteluri</c:v>
                </c:pt>
                <c:pt idx="3">
                  <c:v>Vile turistice</c:v>
                </c:pt>
                <c:pt idx="4">
                  <c:v>Cabane turistice</c:v>
                </c:pt>
                <c:pt idx="5">
                  <c:v>Campinguri</c:v>
                </c:pt>
                <c:pt idx="6">
                  <c:v>Casute turistice</c:v>
                </c:pt>
                <c:pt idx="7">
                  <c:v>Tabere de elevi si prescolari</c:v>
                </c:pt>
                <c:pt idx="8">
                  <c:v>Pensiuni turistice</c:v>
                </c:pt>
                <c:pt idx="9">
                  <c:v>Pensiuni agroturistice</c:v>
                </c:pt>
                <c:pt idx="10">
                  <c:v>Apartamente si camere de inchiriat</c:v>
                </c:pt>
              </c:strCache>
            </c:strRef>
          </c:cat>
          <c:val>
            <c:numRef>
              <c:f>Sheet1!$B$2:$B$12</c:f>
              <c:numCache>
                <c:formatCode>General</c:formatCode>
                <c:ptCount val="11"/>
                <c:pt idx="0">
                  <c:v>1088983</c:v>
                </c:pt>
                <c:pt idx="1">
                  <c:v>83380</c:v>
                </c:pt>
                <c:pt idx="2">
                  <c:v>75084</c:v>
                </c:pt>
                <c:pt idx="3">
                  <c:v>163255</c:v>
                </c:pt>
                <c:pt idx="4">
                  <c:v>22433</c:v>
                </c:pt>
                <c:pt idx="5">
                  <c:v>5908</c:v>
                </c:pt>
                <c:pt idx="6">
                  <c:v>9962</c:v>
                </c:pt>
                <c:pt idx="7">
                  <c:v>27874</c:v>
                </c:pt>
                <c:pt idx="8">
                  <c:v>290767</c:v>
                </c:pt>
                <c:pt idx="9">
                  <c:v>130643</c:v>
                </c:pt>
                <c:pt idx="10">
                  <c:v>391635</c:v>
                </c:pt>
              </c:numCache>
            </c:numRef>
          </c:val>
          <c:extLst>
            <c:ext xmlns:c16="http://schemas.microsoft.com/office/drawing/2014/chart" uri="{C3380CC4-5D6E-409C-BE32-E72D297353CC}">
              <c16:uniqueId val="{00000000-AD46-49A4-A9B1-83B842441517}"/>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98" b="0" i="0" u="none" strike="noStrike" baseline="0">
                <a:solidFill>
                  <a:srgbClr val="000000"/>
                </a:solidFill>
                <a:latin typeface="Arial"/>
                <a:ea typeface="Arial"/>
                <a:cs typeface="Arial"/>
              </a:defRPr>
            </a:pPr>
            <a:r>
              <a:rPr lang="en-US"/>
              <a:t>MASCULIN</a:t>
            </a:r>
          </a:p>
        </c:rich>
      </c:tx>
      <c:layout>
        <c:manualLayout>
          <c:xMode val="edge"/>
          <c:yMode val="edge"/>
          <c:x val="0.40636042402826855"/>
          <c:y val="1.871657754010695E-2"/>
        </c:manualLayout>
      </c:layout>
      <c:overlay val="0"/>
      <c:spPr>
        <a:noFill/>
        <a:ln w="25321">
          <a:noFill/>
        </a:ln>
      </c:spPr>
    </c:title>
    <c:autoTitleDeleted val="0"/>
    <c:plotArea>
      <c:layout>
        <c:manualLayout>
          <c:layoutTarget val="inner"/>
          <c:xMode val="edge"/>
          <c:yMode val="edge"/>
          <c:x val="7.1558796718322701E-2"/>
          <c:y val="0.11229948137360572"/>
          <c:w val="0.89045936395759717"/>
          <c:h val="0.74598930481283421"/>
        </c:manualLayout>
      </c:layout>
      <c:barChart>
        <c:barDir val="bar"/>
        <c:grouping val="clustered"/>
        <c:varyColors val="0"/>
        <c:ser>
          <c:idx val="0"/>
          <c:order val="0"/>
          <c:tx>
            <c:strRef>
              <c:f>Sheet1!$A$2</c:f>
              <c:strCache>
                <c:ptCount val="1"/>
                <c:pt idx="0">
                  <c:v>2021</c:v>
                </c:pt>
              </c:strCache>
            </c:strRef>
          </c:tx>
          <c:spPr>
            <a:solidFill>
              <a:srgbClr val="A6CAF0"/>
            </a:solidFill>
            <a:ln w="25321">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B4D-4C54-9F87-19EF71169606}"/>
                </c:ext>
              </c:extLst>
            </c:dLbl>
            <c:dLbl>
              <c:idx val="5"/>
              <c:delete val="1"/>
              <c:extLst>
                <c:ext xmlns:c15="http://schemas.microsoft.com/office/drawing/2012/chart" uri="{CE6537A1-D6FC-4f65-9D91-7224C49458BB}"/>
                <c:ext xmlns:c16="http://schemas.microsoft.com/office/drawing/2014/chart" uri="{C3380CC4-5D6E-409C-BE32-E72D297353CC}">
                  <c16:uniqueId val="{00000001-AB4D-4C54-9F87-19EF71169606}"/>
                </c:ext>
              </c:extLst>
            </c:dLbl>
            <c:dLbl>
              <c:idx val="15"/>
              <c:layout>
                <c:manualLayout>
                  <c:xMode val="edge"/>
                  <c:yMode val="edge"/>
                  <c:x val="0.46643109540636041"/>
                  <c:y val="0.70320855614973266"/>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4D-4C54-9F87-19EF71169606}"/>
                </c:ext>
              </c:extLst>
            </c:dLbl>
            <c:dLbl>
              <c:idx val="25"/>
              <c:layout>
                <c:manualLayout>
                  <c:xMode val="edge"/>
                  <c:yMode val="edge"/>
                  <c:x val="0.60070671378091878"/>
                  <c:y val="0.64438502673796794"/>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4D-4C54-9F87-19EF71169606}"/>
                </c:ext>
              </c:extLst>
            </c:dLbl>
            <c:dLbl>
              <c:idx val="26"/>
              <c:layout>
                <c:manualLayout>
                  <c:xMode val="edge"/>
                  <c:yMode val="edge"/>
                  <c:x val="0.59363957597173145"/>
                  <c:y val="0.63368983957219249"/>
                </c:manualLayout>
              </c:layout>
              <c:spPr>
                <a:noFill/>
                <a:ln w="25321">
                  <a:noFill/>
                </a:ln>
              </c:spPr>
              <c:txPr>
                <a:bodyPr/>
                <a:lstStyle/>
                <a:p>
                  <a:pPr>
                    <a:defRPr sz="798"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4D-4C54-9F87-19EF71169606}"/>
                </c:ext>
              </c:extLst>
            </c:dLbl>
            <c:dLbl>
              <c:idx val="29"/>
              <c:delete val="1"/>
              <c:extLst>
                <c:ext xmlns:c15="http://schemas.microsoft.com/office/drawing/2012/chart" uri="{CE6537A1-D6FC-4f65-9D91-7224C49458BB}"/>
                <c:ext xmlns:c16="http://schemas.microsoft.com/office/drawing/2014/chart" uri="{C3380CC4-5D6E-409C-BE32-E72D297353CC}">
                  <c16:uniqueId val="{00000005-AB4D-4C54-9F87-19EF71169606}"/>
                </c:ext>
              </c:extLst>
            </c:dLbl>
            <c:dLbl>
              <c:idx val="50"/>
              <c:layout>
                <c:manualLayout>
                  <c:xMode val="edge"/>
                  <c:yMode val="edge"/>
                  <c:x val="0.42402826855123676"/>
                  <c:y val="0.45187165775401067"/>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4D-4C54-9F87-19EF71169606}"/>
                </c:ext>
              </c:extLst>
            </c:dLbl>
            <c:dLbl>
              <c:idx val="55"/>
              <c:layout>
                <c:manualLayout>
                  <c:xMode val="edge"/>
                  <c:yMode val="edge"/>
                  <c:x val="0.60070671378091878"/>
                  <c:y val="0.41176470588235292"/>
                </c:manualLayout>
              </c:layout>
              <c:spPr>
                <a:noFill/>
                <a:ln w="25321">
                  <a:noFill/>
                </a:ln>
              </c:spPr>
              <c:txPr>
                <a:bodyPr/>
                <a:lstStyle/>
                <a:p>
                  <a:pPr>
                    <a:defRPr sz="897" b="1" i="0" u="none" strike="noStrike" baseline="0">
                      <a:solidFill>
                        <a:srgbClr val="000000"/>
                      </a:solidFill>
                      <a:latin typeface="Arial"/>
                      <a:ea typeface="Arial"/>
                      <a:cs typeface="Arial"/>
                    </a:defRPr>
                  </a:pPr>
                  <a:endParaRPr lang="en-US"/>
                </a:p>
              </c:txPr>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4D-4C54-9F87-19EF71169606}"/>
                </c:ext>
              </c:extLst>
            </c:dLbl>
            <c:dLbl>
              <c:idx val="71"/>
              <c:delete val="1"/>
              <c:extLst>
                <c:ext xmlns:c15="http://schemas.microsoft.com/office/drawing/2012/chart" uri="{CE6537A1-D6FC-4f65-9D91-7224C49458BB}"/>
                <c:ext xmlns:c16="http://schemas.microsoft.com/office/drawing/2014/chart" uri="{C3380CC4-5D6E-409C-BE32-E72D297353CC}">
                  <c16:uniqueId val="{00000008-AB4D-4C54-9F87-19EF71169606}"/>
                </c:ext>
              </c:extLst>
            </c:dLbl>
            <c:spPr>
              <a:noFill/>
              <a:ln w="25321">
                <a:noFill/>
              </a:ln>
            </c:spPr>
            <c:txPr>
              <a:bodyPr wrap="square" lIns="38100" tIns="19050" rIns="38100" bIns="19050" anchor="ctr">
                <a:spAutoFit/>
              </a:bodyPr>
              <a:lstStyle/>
              <a:p>
                <a:pPr>
                  <a:defRPr sz="897" b="1"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numRef>
              <c:f>Sheet1!$B$1:$CZ$1</c:f>
              <c:numCache>
                <c:formatCode>General</c:formatCode>
                <c:ptCount val="103"/>
              </c:numCache>
            </c:numRef>
          </c:cat>
          <c:val>
            <c:numRef>
              <c:f>Sheet1!$B$2:$CZ$2</c:f>
              <c:numCache>
                <c:formatCode>General</c:formatCode>
                <c:ptCount val="103"/>
                <c:pt idx="0">
                  <c:v>3104</c:v>
                </c:pt>
                <c:pt idx="1">
                  <c:v>3205</c:v>
                </c:pt>
                <c:pt idx="2">
                  <c:v>3323</c:v>
                </c:pt>
                <c:pt idx="3">
                  <c:v>3500</c:v>
                </c:pt>
                <c:pt idx="4">
                  <c:v>3545</c:v>
                </c:pt>
                <c:pt idx="5">
                  <c:v>3505</c:v>
                </c:pt>
                <c:pt idx="6">
                  <c:v>3439</c:v>
                </c:pt>
                <c:pt idx="7">
                  <c:v>3365</c:v>
                </c:pt>
                <c:pt idx="8">
                  <c:v>3384</c:v>
                </c:pt>
                <c:pt idx="9">
                  <c:v>3487</c:v>
                </c:pt>
                <c:pt idx="10">
                  <c:v>3669</c:v>
                </c:pt>
                <c:pt idx="11">
                  <c:v>3981</c:v>
                </c:pt>
                <c:pt idx="12">
                  <c:v>4044</c:v>
                </c:pt>
                <c:pt idx="13">
                  <c:v>4125</c:v>
                </c:pt>
                <c:pt idx="14">
                  <c:v>4058</c:v>
                </c:pt>
                <c:pt idx="15">
                  <c:v>4179</c:v>
                </c:pt>
                <c:pt idx="16">
                  <c:v>4196</c:v>
                </c:pt>
                <c:pt idx="17">
                  <c:v>4057</c:v>
                </c:pt>
                <c:pt idx="18">
                  <c:v>3916</c:v>
                </c:pt>
                <c:pt idx="19">
                  <c:v>3767</c:v>
                </c:pt>
                <c:pt idx="20">
                  <c:v>4067</c:v>
                </c:pt>
                <c:pt idx="21">
                  <c:v>4021</c:v>
                </c:pt>
                <c:pt idx="22">
                  <c:v>3906</c:v>
                </c:pt>
                <c:pt idx="23">
                  <c:v>4174</c:v>
                </c:pt>
                <c:pt idx="24">
                  <c:v>3917</c:v>
                </c:pt>
                <c:pt idx="25">
                  <c:v>3891</c:v>
                </c:pt>
                <c:pt idx="26">
                  <c:v>3970</c:v>
                </c:pt>
                <c:pt idx="27">
                  <c:v>4195</c:v>
                </c:pt>
                <c:pt idx="28">
                  <c:v>4324</c:v>
                </c:pt>
                <c:pt idx="29">
                  <c:v>4437</c:v>
                </c:pt>
                <c:pt idx="30">
                  <c:v>4166</c:v>
                </c:pt>
                <c:pt idx="31">
                  <c:v>5798</c:v>
                </c:pt>
                <c:pt idx="32">
                  <c:v>6172</c:v>
                </c:pt>
                <c:pt idx="33">
                  <c:v>6259</c:v>
                </c:pt>
                <c:pt idx="34">
                  <c:v>6552</c:v>
                </c:pt>
                <c:pt idx="35">
                  <c:v>5514</c:v>
                </c:pt>
                <c:pt idx="36">
                  <c:v>5619</c:v>
                </c:pt>
                <c:pt idx="37">
                  <c:v>5162</c:v>
                </c:pt>
                <c:pt idx="38">
                  <c:v>4825</c:v>
                </c:pt>
                <c:pt idx="39">
                  <c:v>5722</c:v>
                </c:pt>
                <c:pt idx="40">
                  <c:v>6233</c:v>
                </c:pt>
                <c:pt idx="41">
                  <c:v>6561</c:v>
                </c:pt>
                <c:pt idx="42">
                  <c:v>6837</c:v>
                </c:pt>
                <c:pt idx="43">
                  <c:v>6478</c:v>
                </c:pt>
                <c:pt idx="44">
                  <c:v>6683</c:v>
                </c:pt>
                <c:pt idx="45">
                  <c:v>6698</c:v>
                </c:pt>
                <c:pt idx="46">
                  <c:v>6461</c:v>
                </c:pt>
                <c:pt idx="47">
                  <c:v>6651</c:v>
                </c:pt>
                <c:pt idx="48">
                  <c:v>6218</c:v>
                </c:pt>
                <c:pt idx="49">
                  <c:v>6737</c:v>
                </c:pt>
                <c:pt idx="50">
                  <c:v>7056</c:v>
                </c:pt>
                <c:pt idx="51">
                  <c:v>7368</c:v>
                </c:pt>
                <c:pt idx="52">
                  <c:v>8002</c:v>
                </c:pt>
                <c:pt idx="53">
                  <c:v>11122</c:v>
                </c:pt>
                <c:pt idx="54">
                  <c:v>4749</c:v>
                </c:pt>
                <c:pt idx="55">
                  <c:v>4011</c:v>
                </c:pt>
                <c:pt idx="56">
                  <c:v>4001</c:v>
                </c:pt>
                <c:pt idx="57">
                  <c:v>3916</c:v>
                </c:pt>
                <c:pt idx="58">
                  <c:v>3923</c:v>
                </c:pt>
                <c:pt idx="59">
                  <c:v>4231</c:v>
                </c:pt>
                <c:pt idx="60">
                  <c:v>4426</c:v>
                </c:pt>
                <c:pt idx="61">
                  <c:v>4348</c:v>
                </c:pt>
                <c:pt idx="62">
                  <c:v>4604</c:v>
                </c:pt>
                <c:pt idx="63">
                  <c:v>4656</c:v>
                </c:pt>
                <c:pt idx="64">
                  <c:v>4567</c:v>
                </c:pt>
                <c:pt idx="65">
                  <c:v>4727</c:v>
                </c:pt>
                <c:pt idx="66">
                  <c:v>4779</c:v>
                </c:pt>
                <c:pt idx="67">
                  <c:v>4145</c:v>
                </c:pt>
                <c:pt idx="68">
                  <c:v>4281</c:v>
                </c:pt>
                <c:pt idx="69">
                  <c:v>3804</c:v>
                </c:pt>
                <c:pt idx="70">
                  <c:v>3608</c:v>
                </c:pt>
                <c:pt idx="71">
                  <c:v>3767</c:v>
                </c:pt>
                <c:pt idx="72">
                  <c:v>3286</c:v>
                </c:pt>
                <c:pt idx="73">
                  <c:v>2226</c:v>
                </c:pt>
                <c:pt idx="74">
                  <c:v>2360</c:v>
                </c:pt>
                <c:pt idx="75">
                  <c:v>2114</c:v>
                </c:pt>
                <c:pt idx="76">
                  <c:v>2069</c:v>
                </c:pt>
                <c:pt idx="77">
                  <c:v>1835</c:v>
                </c:pt>
                <c:pt idx="78">
                  <c:v>1716</c:v>
                </c:pt>
                <c:pt idx="79">
                  <c:v>1528</c:v>
                </c:pt>
                <c:pt idx="80">
                  <c:v>1431</c:v>
                </c:pt>
                <c:pt idx="81">
                  <c:v>1682</c:v>
                </c:pt>
                <c:pt idx="82">
                  <c:v>1535</c:v>
                </c:pt>
                <c:pt idx="83">
                  <c:v>1315</c:v>
                </c:pt>
                <c:pt idx="84">
                  <c:v>1122</c:v>
                </c:pt>
                <c:pt idx="85">
                  <c:v>1100</c:v>
                </c:pt>
                <c:pt idx="86">
                  <c:v>1050</c:v>
                </c:pt>
                <c:pt idx="87">
                  <c:v>1000</c:v>
                </c:pt>
                <c:pt idx="88">
                  <c:v>920</c:v>
                </c:pt>
                <c:pt idx="89">
                  <c:v>550</c:v>
                </c:pt>
                <c:pt idx="90">
                  <c:v>100</c:v>
                </c:pt>
                <c:pt idx="91">
                  <c:v>9</c:v>
                </c:pt>
                <c:pt idx="92">
                  <c:v>1</c:v>
                </c:pt>
                <c:pt idx="93">
                  <c:v>1</c:v>
                </c:pt>
              </c:numCache>
            </c:numRef>
          </c:val>
          <c:extLst>
            <c:ext xmlns:c16="http://schemas.microsoft.com/office/drawing/2014/chart" uri="{C3380CC4-5D6E-409C-BE32-E72D297353CC}">
              <c16:uniqueId val="{00000009-AB4D-4C54-9F87-19EF71169606}"/>
            </c:ext>
          </c:extLst>
        </c:ser>
        <c:ser>
          <c:idx val="1"/>
          <c:order val="1"/>
          <c:tx>
            <c:strRef>
              <c:f>Sheet1!#REF!</c:f>
              <c:strCache>
                <c:ptCount val="1"/>
                <c:pt idx="0">
                  <c:v>#REF!</c:v>
                </c:pt>
              </c:strCache>
            </c:strRef>
          </c:tx>
          <c:spPr>
            <a:noFill/>
            <a:ln w="3165">
              <a:solidFill>
                <a:srgbClr val="000080"/>
              </a:solidFill>
              <a:prstDash val="solid"/>
            </a:ln>
          </c:spPr>
          <c:invertIfNegative val="0"/>
          <c:cat>
            <c:numRef>
              <c:f>Sheet1!$B$1:$CZ$1</c:f>
              <c:numCache>
                <c:formatCode>General</c:formatCode>
                <c:ptCount val="103"/>
              </c:numCache>
            </c:numRef>
          </c:cat>
          <c:val>
            <c:numRef>
              <c:f>Sheet1!#REF!</c:f>
              <c:numCache>
                <c:formatCode>General</c:formatCode>
                <c:ptCount val="1"/>
                <c:pt idx="0">
                  <c:v>1</c:v>
                </c:pt>
              </c:numCache>
            </c:numRef>
          </c:val>
          <c:extLst>
            <c:ext xmlns:c16="http://schemas.microsoft.com/office/drawing/2014/chart" uri="{C3380CC4-5D6E-409C-BE32-E72D297353CC}">
              <c16:uniqueId val="{0000000A-AB4D-4C54-9F87-19EF71169606}"/>
            </c:ext>
          </c:extLst>
        </c:ser>
        <c:dLbls>
          <c:showLegendKey val="0"/>
          <c:showVal val="0"/>
          <c:showCatName val="0"/>
          <c:showSerName val="0"/>
          <c:showPercent val="0"/>
          <c:showBubbleSize val="0"/>
        </c:dLbls>
        <c:gapWidth val="0"/>
        <c:overlap val="100"/>
        <c:axId val="170682528"/>
        <c:axId val="1"/>
      </c:barChart>
      <c:catAx>
        <c:axId val="170682528"/>
        <c:scaling>
          <c:orientation val="minMax"/>
        </c:scaling>
        <c:delete val="1"/>
        <c:axPos val="r"/>
        <c:numFmt formatCode="General" sourceLinked="1"/>
        <c:majorTickMark val="out"/>
        <c:minorTickMark val="none"/>
        <c:tickLblPos val="nextTo"/>
        <c:crossAx val="1"/>
        <c:crossesAt val="0"/>
        <c:auto val="1"/>
        <c:lblAlgn val="ctr"/>
        <c:lblOffset val="100"/>
        <c:noMultiLvlLbl val="0"/>
      </c:catAx>
      <c:valAx>
        <c:axId val="1"/>
        <c:scaling>
          <c:orientation val="maxMin"/>
          <c:max val="15001"/>
          <c:min val="0"/>
        </c:scaling>
        <c:delete val="0"/>
        <c:axPos val="b"/>
        <c:majorGridlines>
          <c:spPr>
            <a:ln w="3165">
              <a:solidFill>
                <a:srgbClr val="000000"/>
              </a:solidFill>
              <a:prstDash val="solid"/>
            </a:ln>
          </c:spPr>
        </c:majorGridlines>
        <c:title>
          <c:tx>
            <c:rich>
              <a:bodyPr/>
              <a:lstStyle/>
              <a:p>
                <a:pPr>
                  <a:defRPr sz="598" b="0" i="0" u="none" strike="noStrike" baseline="0">
                    <a:solidFill>
                      <a:srgbClr val="000000"/>
                    </a:solidFill>
                    <a:latin typeface="Arial"/>
                    <a:ea typeface="Arial"/>
                    <a:cs typeface="Arial"/>
                  </a:defRPr>
                </a:pPr>
                <a:r>
                  <a:rPr lang="en-US"/>
                  <a:t>persoane</a:t>
                </a:r>
              </a:p>
            </c:rich>
          </c:tx>
          <c:layout>
            <c:manualLayout>
              <c:xMode val="edge"/>
              <c:yMode val="edge"/>
              <c:x val="0.42402826855123676"/>
              <c:y val="0.91443850267379678"/>
            </c:manualLayout>
          </c:layout>
          <c:overlay val="0"/>
          <c:spPr>
            <a:noFill/>
            <a:ln w="25321">
              <a:noFill/>
            </a:ln>
          </c:spPr>
        </c:title>
        <c:numFmt formatCode="General" sourceLinked="0"/>
        <c:majorTickMark val="out"/>
        <c:minorTickMark val="none"/>
        <c:tickLblPos val="nextTo"/>
        <c:spPr>
          <a:ln w="3165">
            <a:solidFill>
              <a:srgbClr val="000000"/>
            </a:solidFill>
            <a:prstDash val="solid"/>
          </a:ln>
        </c:spPr>
        <c:txPr>
          <a:bodyPr rot="0" vert="horz"/>
          <a:lstStyle/>
          <a:p>
            <a:pPr>
              <a:defRPr sz="698" b="0" i="0" u="none" strike="noStrike" baseline="0">
                <a:solidFill>
                  <a:srgbClr val="000000"/>
                </a:solidFill>
                <a:latin typeface="Arial"/>
                <a:ea typeface="Arial"/>
                <a:cs typeface="Arial"/>
              </a:defRPr>
            </a:pPr>
            <a:endParaRPr lang="en-US"/>
          </a:p>
        </c:txPr>
        <c:crossAx val="170682528"/>
        <c:crosses val="autoZero"/>
        <c:crossBetween val="between"/>
        <c:majorUnit val="10000"/>
        <c:minorUnit val="5000"/>
      </c:valAx>
      <c:spPr>
        <a:noFill/>
        <a:ln w="25321">
          <a:noFill/>
        </a:ln>
      </c:spPr>
    </c:plotArea>
    <c:plotVisOnly val="1"/>
    <c:dispBlanksAs val="gap"/>
    <c:showDLblsOverMax val="0"/>
  </c:chart>
  <c:spPr>
    <a:noFill/>
    <a:ln>
      <a:noFill/>
    </a:ln>
  </c:spPr>
  <c:txPr>
    <a:bodyPr/>
    <a:lstStyle/>
    <a:p>
      <a:pPr>
        <a:defRPr sz="798" b="1"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806-4E9B-852E-AED83D509503}"/>
              </c:ext>
            </c:extLst>
          </c:dPt>
          <c:dPt>
            <c:idx val="1"/>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6806-4E9B-852E-AED83D50950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autoturisme noi</c:v>
                </c:pt>
                <c:pt idx="1">
                  <c:v>autoturisme importate second hand</c:v>
                </c:pt>
              </c:strCache>
            </c:strRef>
          </c:cat>
          <c:val>
            <c:numRef>
              <c:f>Sheet1!$B$2:$B$3</c:f>
              <c:numCache>
                <c:formatCode>General</c:formatCode>
                <c:ptCount val="2"/>
                <c:pt idx="0">
                  <c:v>1586</c:v>
                </c:pt>
                <c:pt idx="1">
                  <c:v>5134</c:v>
                </c:pt>
              </c:numCache>
            </c:numRef>
          </c:val>
          <c:extLst>
            <c:ext xmlns:c16="http://schemas.microsoft.com/office/drawing/2014/chart" uri="{C3380CC4-5D6E-409C-BE32-E72D297353CC}">
              <c16:uniqueId val="{00000000-6806-4E9B-852E-AED83D50950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solidFill>
            <a:schemeClr val="bg1">
              <a:lumMod val="85000"/>
            </a:schemeClr>
          </a:solidFill>
        </a:ln>
        <a:effectLst/>
        <a:sp3d>
          <a:contourClr>
            <a:schemeClr val="bg1">
              <a:lumMod val="8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436395595959729"/>
          <c:y val="4.8986862614117124E-2"/>
          <c:w val="0.65731315160179138"/>
          <c:h val="0.60332493508451723"/>
        </c:manualLayout>
      </c:layout>
      <c:bar3DChart>
        <c:barDir val="bar"/>
        <c:grouping val="percentStacked"/>
        <c:varyColors val="0"/>
        <c:ser>
          <c:idx val="0"/>
          <c:order val="0"/>
          <c:tx>
            <c:strRef>
              <c:f>Sheet1!$B$1</c:f>
              <c:strCache>
                <c:ptCount val="1"/>
                <c:pt idx="0">
                  <c:v>Vehicule noi</c:v>
                </c:pt>
              </c:strCache>
            </c:strRef>
          </c:tx>
          <c:spPr>
            <a:solidFill>
              <a:schemeClr val="accent2">
                <a:shade val="76000"/>
              </a:schemeClr>
            </a:solidFill>
            <a:ln>
              <a:noFill/>
            </a:ln>
            <a:effectLst/>
            <a:sp3d/>
          </c:spPr>
          <c:invertIfNegative val="0"/>
          <c:cat>
            <c:strRef>
              <c:f>Sheet1!$A$2:$A$4</c:f>
              <c:strCache>
                <c:ptCount val="3"/>
                <c:pt idx="0">
                  <c:v>Autocamioane</c:v>
                </c:pt>
                <c:pt idx="1">
                  <c:v>Autotractoare </c:v>
                </c:pt>
                <c:pt idx="2">
                  <c:v> Remorci şi semiremorci</c:v>
                </c:pt>
              </c:strCache>
            </c:strRef>
          </c:cat>
          <c:val>
            <c:numRef>
              <c:f>Sheet1!$B$2:$B$4</c:f>
              <c:numCache>
                <c:formatCode>General</c:formatCode>
                <c:ptCount val="3"/>
                <c:pt idx="0">
                  <c:v>86</c:v>
                </c:pt>
                <c:pt idx="1">
                  <c:v>91</c:v>
                </c:pt>
                <c:pt idx="2">
                  <c:v>353</c:v>
                </c:pt>
              </c:numCache>
            </c:numRef>
          </c:val>
          <c:extLst>
            <c:ext xmlns:c16="http://schemas.microsoft.com/office/drawing/2014/chart" uri="{C3380CC4-5D6E-409C-BE32-E72D297353CC}">
              <c16:uniqueId val="{00000000-454B-4530-AF15-609612F9CD78}"/>
            </c:ext>
          </c:extLst>
        </c:ser>
        <c:ser>
          <c:idx val="1"/>
          <c:order val="1"/>
          <c:tx>
            <c:strRef>
              <c:f>Sheet1!$C$1</c:f>
              <c:strCache>
                <c:ptCount val="1"/>
                <c:pt idx="0">
                  <c:v>Vehicule  second hand importate</c:v>
                </c:pt>
              </c:strCache>
            </c:strRef>
          </c:tx>
          <c:spPr>
            <a:solidFill>
              <a:schemeClr val="accent2">
                <a:tint val="77000"/>
              </a:schemeClr>
            </a:solidFill>
            <a:ln>
              <a:noFill/>
            </a:ln>
            <a:effectLst/>
            <a:sp3d/>
          </c:spPr>
          <c:invertIfNegative val="0"/>
          <c:cat>
            <c:strRef>
              <c:f>Sheet1!$A$2:$A$4</c:f>
              <c:strCache>
                <c:ptCount val="3"/>
                <c:pt idx="0">
                  <c:v>Autocamioane</c:v>
                </c:pt>
                <c:pt idx="1">
                  <c:v>Autotractoare </c:v>
                </c:pt>
                <c:pt idx="2">
                  <c:v> Remorci şi semiremorci</c:v>
                </c:pt>
              </c:strCache>
            </c:strRef>
          </c:cat>
          <c:val>
            <c:numRef>
              <c:f>Sheet1!$C$2:$C$4</c:f>
              <c:numCache>
                <c:formatCode>General</c:formatCode>
                <c:ptCount val="3"/>
                <c:pt idx="0">
                  <c:v>393</c:v>
                </c:pt>
                <c:pt idx="1">
                  <c:v>86</c:v>
                </c:pt>
                <c:pt idx="2">
                  <c:v>255</c:v>
                </c:pt>
              </c:numCache>
            </c:numRef>
          </c:val>
          <c:extLst>
            <c:ext xmlns:c16="http://schemas.microsoft.com/office/drawing/2014/chart" uri="{C3380CC4-5D6E-409C-BE32-E72D297353CC}">
              <c16:uniqueId val="{00000001-454B-4530-AF15-609612F9CD78}"/>
            </c:ext>
          </c:extLst>
        </c:ser>
        <c:dLbls>
          <c:showLegendKey val="0"/>
          <c:showVal val="0"/>
          <c:showCatName val="0"/>
          <c:showSerName val="0"/>
          <c:showPercent val="0"/>
          <c:showBubbleSize val="0"/>
        </c:dLbls>
        <c:gapWidth val="150"/>
        <c:shape val="box"/>
        <c:axId val="540557232"/>
        <c:axId val="540559528"/>
        <c:axId val="0"/>
      </c:bar3DChart>
      <c:catAx>
        <c:axId val="540557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559528"/>
        <c:crosses val="autoZero"/>
        <c:auto val="1"/>
        <c:lblAlgn val="ctr"/>
        <c:lblOffset val="100"/>
        <c:noMultiLvlLbl val="0"/>
      </c:catAx>
      <c:valAx>
        <c:axId val="540559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55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97" b="0" i="0" u="none" strike="noStrike" baseline="0">
                <a:solidFill>
                  <a:srgbClr val="000000"/>
                </a:solidFill>
                <a:latin typeface="Arial"/>
                <a:ea typeface="Arial"/>
                <a:cs typeface="Arial"/>
              </a:defRPr>
            </a:pPr>
            <a:r>
              <a:rPr lang="en-US"/>
              <a:t>FEMININ</a:t>
            </a:r>
          </a:p>
        </c:rich>
      </c:tx>
      <c:layout>
        <c:manualLayout>
          <c:xMode val="edge"/>
          <c:yMode val="edge"/>
          <c:x val="0.43137254901960786"/>
          <c:y val="1.871657754010695E-2"/>
        </c:manualLayout>
      </c:layout>
      <c:overlay val="0"/>
      <c:spPr>
        <a:noFill/>
        <a:ln w="25299">
          <a:noFill/>
        </a:ln>
      </c:spPr>
    </c:title>
    <c:autoTitleDeleted val="0"/>
    <c:plotArea>
      <c:layout>
        <c:manualLayout>
          <c:layoutTarget val="inner"/>
          <c:xMode val="edge"/>
          <c:yMode val="edge"/>
          <c:x val="6.2091503267973858E-2"/>
          <c:y val="0.12299465240641712"/>
          <c:w val="0.79187838514405351"/>
          <c:h val="0.73529411764705888"/>
        </c:manualLayout>
      </c:layout>
      <c:barChart>
        <c:barDir val="bar"/>
        <c:grouping val="clustered"/>
        <c:varyColors val="1"/>
        <c:ser>
          <c:idx val="0"/>
          <c:order val="0"/>
          <c:tx>
            <c:strRef>
              <c:f>Sheet1!$A$2</c:f>
              <c:strCache>
                <c:ptCount val="1"/>
                <c:pt idx="0">
                  <c:v>2023</c:v>
                </c:pt>
              </c:strCache>
            </c:strRef>
          </c:tx>
          <c:spPr>
            <a:solidFill>
              <a:srgbClr val="FF0000"/>
            </a:solidFill>
            <a:ln w="25299">
              <a:noFill/>
            </a:ln>
          </c:spPr>
          <c:invertIfNegative val="0"/>
          <c:dPt>
            <c:idx val="0"/>
            <c:invertIfNegative val="0"/>
            <c:bubble3D val="0"/>
            <c:extLst>
              <c:ext xmlns:c16="http://schemas.microsoft.com/office/drawing/2014/chart" uri="{C3380CC4-5D6E-409C-BE32-E72D297353CC}">
                <c16:uniqueId val="{00000000-7958-4546-A105-6436CE5930F3}"/>
              </c:ext>
            </c:extLst>
          </c:dPt>
          <c:dPt>
            <c:idx val="1"/>
            <c:invertIfNegative val="0"/>
            <c:bubble3D val="0"/>
            <c:extLst>
              <c:ext xmlns:c16="http://schemas.microsoft.com/office/drawing/2014/chart" uri="{C3380CC4-5D6E-409C-BE32-E72D297353CC}">
                <c16:uniqueId val="{00000001-7958-4546-A105-6436CE5930F3}"/>
              </c:ext>
            </c:extLst>
          </c:dPt>
          <c:dPt>
            <c:idx val="2"/>
            <c:invertIfNegative val="0"/>
            <c:bubble3D val="0"/>
            <c:extLst>
              <c:ext xmlns:c16="http://schemas.microsoft.com/office/drawing/2014/chart" uri="{C3380CC4-5D6E-409C-BE32-E72D297353CC}">
                <c16:uniqueId val="{00000002-7958-4546-A105-6436CE5930F3}"/>
              </c:ext>
            </c:extLst>
          </c:dPt>
          <c:dPt>
            <c:idx val="3"/>
            <c:invertIfNegative val="0"/>
            <c:bubble3D val="0"/>
            <c:extLst>
              <c:ext xmlns:c16="http://schemas.microsoft.com/office/drawing/2014/chart" uri="{C3380CC4-5D6E-409C-BE32-E72D297353CC}">
                <c16:uniqueId val="{00000003-7958-4546-A105-6436CE5930F3}"/>
              </c:ext>
            </c:extLst>
          </c:dPt>
          <c:dPt>
            <c:idx val="4"/>
            <c:invertIfNegative val="0"/>
            <c:bubble3D val="0"/>
            <c:extLst>
              <c:ext xmlns:c16="http://schemas.microsoft.com/office/drawing/2014/chart" uri="{C3380CC4-5D6E-409C-BE32-E72D297353CC}">
                <c16:uniqueId val="{00000004-7958-4546-A105-6436CE5930F3}"/>
              </c:ext>
            </c:extLst>
          </c:dPt>
          <c:dPt>
            <c:idx val="5"/>
            <c:invertIfNegative val="0"/>
            <c:bubble3D val="0"/>
            <c:extLst>
              <c:ext xmlns:c16="http://schemas.microsoft.com/office/drawing/2014/chart" uri="{C3380CC4-5D6E-409C-BE32-E72D297353CC}">
                <c16:uniqueId val="{00000005-7958-4546-A105-6436CE5930F3}"/>
              </c:ext>
            </c:extLst>
          </c:dPt>
          <c:dPt>
            <c:idx val="6"/>
            <c:invertIfNegative val="0"/>
            <c:bubble3D val="0"/>
            <c:extLst>
              <c:ext xmlns:c16="http://schemas.microsoft.com/office/drawing/2014/chart" uri="{C3380CC4-5D6E-409C-BE32-E72D297353CC}">
                <c16:uniqueId val="{00000006-7958-4546-A105-6436CE5930F3}"/>
              </c:ext>
            </c:extLst>
          </c:dPt>
          <c:dPt>
            <c:idx val="7"/>
            <c:invertIfNegative val="0"/>
            <c:bubble3D val="0"/>
            <c:extLst>
              <c:ext xmlns:c16="http://schemas.microsoft.com/office/drawing/2014/chart" uri="{C3380CC4-5D6E-409C-BE32-E72D297353CC}">
                <c16:uniqueId val="{00000007-7958-4546-A105-6436CE5930F3}"/>
              </c:ext>
            </c:extLst>
          </c:dPt>
          <c:dPt>
            <c:idx val="8"/>
            <c:invertIfNegative val="0"/>
            <c:bubble3D val="0"/>
            <c:extLst>
              <c:ext xmlns:c16="http://schemas.microsoft.com/office/drawing/2014/chart" uri="{C3380CC4-5D6E-409C-BE32-E72D297353CC}">
                <c16:uniqueId val="{00000008-7958-4546-A105-6436CE5930F3}"/>
              </c:ext>
            </c:extLst>
          </c:dPt>
          <c:dPt>
            <c:idx val="9"/>
            <c:invertIfNegative val="0"/>
            <c:bubble3D val="0"/>
            <c:extLst>
              <c:ext xmlns:c16="http://schemas.microsoft.com/office/drawing/2014/chart" uri="{C3380CC4-5D6E-409C-BE32-E72D297353CC}">
                <c16:uniqueId val="{00000009-7958-4546-A105-6436CE5930F3}"/>
              </c:ext>
            </c:extLst>
          </c:dPt>
          <c:dPt>
            <c:idx val="10"/>
            <c:invertIfNegative val="0"/>
            <c:bubble3D val="0"/>
            <c:extLst>
              <c:ext xmlns:c16="http://schemas.microsoft.com/office/drawing/2014/chart" uri="{C3380CC4-5D6E-409C-BE32-E72D297353CC}">
                <c16:uniqueId val="{0000000A-7958-4546-A105-6436CE5930F3}"/>
              </c:ext>
            </c:extLst>
          </c:dPt>
          <c:dPt>
            <c:idx val="11"/>
            <c:invertIfNegative val="0"/>
            <c:bubble3D val="0"/>
            <c:extLst>
              <c:ext xmlns:c16="http://schemas.microsoft.com/office/drawing/2014/chart" uri="{C3380CC4-5D6E-409C-BE32-E72D297353CC}">
                <c16:uniqueId val="{0000000B-7958-4546-A105-6436CE5930F3}"/>
              </c:ext>
            </c:extLst>
          </c:dPt>
          <c:dPt>
            <c:idx val="12"/>
            <c:invertIfNegative val="0"/>
            <c:bubble3D val="0"/>
            <c:extLst>
              <c:ext xmlns:c16="http://schemas.microsoft.com/office/drawing/2014/chart" uri="{C3380CC4-5D6E-409C-BE32-E72D297353CC}">
                <c16:uniqueId val="{0000000C-7958-4546-A105-6436CE5930F3}"/>
              </c:ext>
            </c:extLst>
          </c:dPt>
          <c:dPt>
            <c:idx val="13"/>
            <c:invertIfNegative val="0"/>
            <c:bubble3D val="0"/>
            <c:extLst>
              <c:ext xmlns:c16="http://schemas.microsoft.com/office/drawing/2014/chart" uri="{C3380CC4-5D6E-409C-BE32-E72D297353CC}">
                <c16:uniqueId val="{0000000D-7958-4546-A105-6436CE5930F3}"/>
              </c:ext>
            </c:extLst>
          </c:dPt>
          <c:dPt>
            <c:idx val="14"/>
            <c:invertIfNegative val="0"/>
            <c:bubble3D val="0"/>
            <c:extLst>
              <c:ext xmlns:c16="http://schemas.microsoft.com/office/drawing/2014/chart" uri="{C3380CC4-5D6E-409C-BE32-E72D297353CC}">
                <c16:uniqueId val="{0000000E-7958-4546-A105-6436CE5930F3}"/>
              </c:ext>
            </c:extLst>
          </c:dPt>
          <c:dPt>
            <c:idx val="15"/>
            <c:invertIfNegative val="0"/>
            <c:bubble3D val="0"/>
            <c:extLst>
              <c:ext xmlns:c16="http://schemas.microsoft.com/office/drawing/2014/chart" uri="{C3380CC4-5D6E-409C-BE32-E72D297353CC}">
                <c16:uniqueId val="{0000000F-7958-4546-A105-6436CE5930F3}"/>
              </c:ext>
            </c:extLst>
          </c:dPt>
          <c:dPt>
            <c:idx val="16"/>
            <c:invertIfNegative val="0"/>
            <c:bubble3D val="0"/>
            <c:extLst>
              <c:ext xmlns:c16="http://schemas.microsoft.com/office/drawing/2014/chart" uri="{C3380CC4-5D6E-409C-BE32-E72D297353CC}">
                <c16:uniqueId val="{00000010-7958-4546-A105-6436CE5930F3}"/>
              </c:ext>
            </c:extLst>
          </c:dPt>
          <c:dPt>
            <c:idx val="17"/>
            <c:invertIfNegative val="0"/>
            <c:bubble3D val="0"/>
            <c:extLst>
              <c:ext xmlns:c16="http://schemas.microsoft.com/office/drawing/2014/chart" uri="{C3380CC4-5D6E-409C-BE32-E72D297353CC}">
                <c16:uniqueId val="{00000011-7958-4546-A105-6436CE5930F3}"/>
              </c:ext>
            </c:extLst>
          </c:dPt>
          <c:dPt>
            <c:idx val="18"/>
            <c:invertIfNegative val="0"/>
            <c:bubble3D val="0"/>
            <c:extLst>
              <c:ext xmlns:c16="http://schemas.microsoft.com/office/drawing/2014/chart" uri="{C3380CC4-5D6E-409C-BE32-E72D297353CC}">
                <c16:uniqueId val="{00000012-7958-4546-A105-6436CE5930F3}"/>
              </c:ext>
            </c:extLst>
          </c:dPt>
          <c:dPt>
            <c:idx val="19"/>
            <c:invertIfNegative val="0"/>
            <c:bubble3D val="0"/>
            <c:extLst>
              <c:ext xmlns:c16="http://schemas.microsoft.com/office/drawing/2014/chart" uri="{C3380CC4-5D6E-409C-BE32-E72D297353CC}">
                <c16:uniqueId val="{00000013-7958-4546-A105-6436CE5930F3}"/>
              </c:ext>
            </c:extLst>
          </c:dPt>
          <c:dPt>
            <c:idx val="20"/>
            <c:invertIfNegative val="0"/>
            <c:bubble3D val="0"/>
            <c:extLst>
              <c:ext xmlns:c16="http://schemas.microsoft.com/office/drawing/2014/chart" uri="{C3380CC4-5D6E-409C-BE32-E72D297353CC}">
                <c16:uniqueId val="{00000014-7958-4546-A105-6436CE5930F3}"/>
              </c:ext>
            </c:extLst>
          </c:dPt>
          <c:dPt>
            <c:idx val="21"/>
            <c:invertIfNegative val="0"/>
            <c:bubble3D val="0"/>
            <c:extLst>
              <c:ext xmlns:c16="http://schemas.microsoft.com/office/drawing/2014/chart" uri="{C3380CC4-5D6E-409C-BE32-E72D297353CC}">
                <c16:uniqueId val="{00000015-7958-4546-A105-6436CE5930F3}"/>
              </c:ext>
            </c:extLst>
          </c:dPt>
          <c:dPt>
            <c:idx val="22"/>
            <c:invertIfNegative val="0"/>
            <c:bubble3D val="0"/>
            <c:extLst>
              <c:ext xmlns:c16="http://schemas.microsoft.com/office/drawing/2014/chart" uri="{C3380CC4-5D6E-409C-BE32-E72D297353CC}">
                <c16:uniqueId val="{00000016-7958-4546-A105-6436CE5930F3}"/>
              </c:ext>
            </c:extLst>
          </c:dPt>
          <c:dPt>
            <c:idx val="23"/>
            <c:invertIfNegative val="0"/>
            <c:bubble3D val="0"/>
            <c:extLst>
              <c:ext xmlns:c16="http://schemas.microsoft.com/office/drawing/2014/chart" uri="{C3380CC4-5D6E-409C-BE32-E72D297353CC}">
                <c16:uniqueId val="{00000017-7958-4546-A105-6436CE5930F3}"/>
              </c:ext>
            </c:extLst>
          </c:dPt>
          <c:dPt>
            <c:idx val="24"/>
            <c:invertIfNegative val="0"/>
            <c:bubble3D val="0"/>
            <c:extLst>
              <c:ext xmlns:c16="http://schemas.microsoft.com/office/drawing/2014/chart" uri="{C3380CC4-5D6E-409C-BE32-E72D297353CC}">
                <c16:uniqueId val="{00000018-7958-4546-A105-6436CE5930F3}"/>
              </c:ext>
            </c:extLst>
          </c:dPt>
          <c:dPt>
            <c:idx val="25"/>
            <c:invertIfNegative val="0"/>
            <c:bubble3D val="0"/>
            <c:extLst>
              <c:ext xmlns:c16="http://schemas.microsoft.com/office/drawing/2014/chart" uri="{C3380CC4-5D6E-409C-BE32-E72D297353CC}">
                <c16:uniqueId val="{00000019-7958-4546-A105-6436CE5930F3}"/>
              </c:ext>
            </c:extLst>
          </c:dPt>
          <c:dPt>
            <c:idx val="26"/>
            <c:invertIfNegative val="0"/>
            <c:bubble3D val="0"/>
            <c:extLst>
              <c:ext xmlns:c16="http://schemas.microsoft.com/office/drawing/2014/chart" uri="{C3380CC4-5D6E-409C-BE32-E72D297353CC}">
                <c16:uniqueId val="{0000001A-7958-4546-A105-6436CE5930F3}"/>
              </c:ext>
            </c:extLst>
          </c:dPt>
          <c:dPt>
            <c:idx val="27"/>
            <c:invertIfNegative val="0"/>
            <c:bubble3D val="0"/>
            <c:extLst>
              <c:ext xmlns:c16="http://schemas.microsoft.com/office/drawing/2014/chart" uri="{C3380CC4-5D6E-409C-BE32-E72D297353CC}">
                <c16:uniqueId val="{0000001B-7958-4546-A105-6436CE5930F3}"/>
              </c:ext>
            </c:extLst>
          </c:dPt>
          <c:dPt>
            <c:idx val="28"/>
            <c:invertIfNegative val="0"/>
            <c:bubble3D val="0"/>
            <c:extLst>
              <c:ext xmlns:c16="http://schemas.microsoft.com/office/drawing/2014/chart" uri="{C3380CC4-5D6E-409C-BE32-E72D297353CC}">
                <c16:uniqueId val="{0000001C-7958-4546-A105-6436CE5930F3}"/>
              </c:ext>
            </c:extLst>
          </c:dPt>
          <c:dPt>
            <c:idx val="29"/>
            <c:invertIfNegative val="0"/>
            <c:bubble3D val="0"/>
            <c:extLst>
              <c:ext xmlns:c16="http://schemas.microsoft.com/office/drawing/2014/chart" uri="{C3380CC4-5D6E-409C-BE32-E72D297353CC}">
                <c16:uniqueId val="{0000001D-7958-4546-A105-6436CE5930F3}"/>
              </c:ext>
            </c:extLst>
          </c:dPt>
          <c:dPt>
            <c:idx val="30"/>
            <c:invertIfNegative val="0"/>
            <c:bubble3D val="0"/>
            <c:extLst>
              <c:ext xmlns:c16="http://schemas.microsoft.com/office/drawing/2014/chart" uri="{C3380CC4-5D6E-409C-BE32-E72D297353CC}">
                <c16:uniqueId val="{0000001E-7958-4546-A105-6436CE5930F3}"/>
              </c:ext>
            </c:extLst>
          </c:dPt>
          <c:dPt>
            <c:idx val="31"/>
            <c:invertIfNegative val="0"/>
            <c:bubble3D val="0"/>
            <c:extLst>
              <c:ext xmlns:c16="http://schemas.microsoft.com/office/drawing/2014/chart" uri="{C3380CC4-5D6E-409C-BE32-E72D297353CC}">
                <c16:uniqueId val="{0000001F-7958-4546-A105-6436CE5930F3}"/>
              </c:ext>
            </c:extLst>
          </c:dPt>
          <c:dPt>
            <c:idx val="32"/>
            <c:invertIfNegative val="0"/>
            <c:bubble3D val="0"/>
            <c:extLst>
              <c:ext xmlns:c16="http://schemas.microsoft.com/office/drawing/2014/chart" uri="{C3380CC4-5D6E-409C-BE32-E72D297353CC}">
                <c16:uniqueId val="{00000020-7958-4546-A105-6436CE5930F3}"/>
              </c:ext>
            </c:extLst>
          </c:dPt>
          <c:dPt>
            <c:idx val="33"/>
            <c:invertIfNegative val="0"/>
            <c:bubble3D val="0"/>
            <c:extLst>
              <c:ext xmlns:c16="http://schemas.microsoft.com/office/drawing/2014/chart" uri="{C3380CC4-5D6E-409C-BE32-E72D297353CC}">
                <c16:uniqueId val="{00000021-7958-4546-A105-6436CE5930F3}"/>
              </c:ext>
            </c:extLst>
          </c:dPt>
          <c:dPt>
            <c:idx val="34"/>
            <c:invertIfNegative val="0"/>
            <c:bubble3D val="0"/>
            <c:extLst>
              <c:ext xmlns:c16="http://schemas.microsoft.com/office/drawing/2014/chart" uri="{C3380CC4-5D6E-409C-BE32-E72D297353CC}">
                <c16:uniqueId val="{00000022-7958-4546-A105-6436CE5930F3}"/>
              </c:ext>
            </c:extLst>
          </c:dPt>
          <c:dPt>
            <c:idx val="35"/>
            <c:invertIfNegative val="0"/>
            <c:bubble3D val="0"/>
            <c:extLst>
              <c:ext xmlns:c16="http://schemas.microsoft.com/office/drawing/2014/chart" uri="{C3380CC4-5D6E-409C-BE32-E72D297353CC}">
                <c16:uniqueId val="{00000023-7958-4546-A105-6436CE5930F3}"/>
              </c:ext>
            </c:extLst>
          </c:dPt>
          <c:dPt>
            <c:idx val="36"/>
            <c:invertIfNegative val="0"/>
            <c:bubble3D val="0"/>
            <c:extLst>
              <c:ext xmlns:c16="http://schemas.microsoft.com/office/drawing/2014/chart" uri="{C3380CC4-5D6E-409C-BE32-E72D297353CC}">
                <c16:uniqueId val="{00000024-7958-4546-A105-6436CE5930F3}"/>
              </c:ext>
            </c:extLst>
          </c:dPt>
          <c:dPt>
            <c:idx val="37"/>
            <c:invertIfNegative val="0"/>
            <c:bubble3D val="0"/>
            <c:extLst>
              <c:ext xmlns:c16="http://schemas.microsoft.com/office/drawing/2014/chart" uri="{C3380CC4-5D6E-409C-BE32-E72D297353CC}">
                <c16:uniqueId val="{00000025-7958-4546-A105-6436CE5930F3}"/>
              </c:ext>
            </c:extLst>
          </c:dPt>
          <c:dPt>
            <c:idx val="38"/>
            <c:invertIfNegative val="0"/>
            <c:bubble3D val="0"/>
            <c:extLst>
              <c:ext xmlns:c16="http://schemas.microsoft.com/office/drawing/2014/chart" uri="{C3380CC4-5D6E-409C-BE32-E72D297353CC}">
                <c16:uniqueId val="{00000026-7958-4546-A105-6436CE5930F3}"/>
              </c:ext>
            </c:extLst>
          </c:dPt>
          <c:dPt>
            <c:idx val="39"/>
            <c:invertIfNegative val="0"/>
            <c:bubble3D val="0"/>
            <c:extLst>
              <c:ext xmlns:c16="http://schemas.microsoft.com/office/drawing/2014/chart" uri="{C3380CC4-5D6E-409C-BE32-E72D297353CC}">
                <c16:uniqueId val="{00000027-7958-4546-A105-6436CE5930F3}"/>
              </c:ext>
            </c:extLst>
          </c:dPt>
          <c:dPt>
            <c:idx val="40"/>
            <c:invertIfNegative val="0"/>
            <c:bubble3D val="0"/>
            <c:extLst>
              <c:ext xmlns:c16="http://schemas.microsoft.com/office/drawing/2014/chart" uri="{C3380CC4-5D6E-409C-BE32-E72D297353CC}">
                <c16:uniqueId val="{00000028-7958-4546-A105-6436CE5930F3}"/>
              </c:ext>
            </c:extLst>
          </c:dPt>
          <c:dPt>
            <c:idx val="41"/>
            <c:invertIfNegative val="0"/>
            <c:bubble3D val="0"/>
            <c:extLst>
              <c:ext xmlns:c16="http://schemas.microsoft.com/office/drawing/2014/chart" uri="{C3380CC4-5D6E-409C-BE32-E72D297353CC}">
                <c16:uniqueId val="{00000029-7958-4546-A105-6436CE5930F3}"/>
              </c:ext>
            </c:extLst>
          </c:dPt>
          <c:dPt>
            <c:idx val="42"/>
            <c:invertIfNegative val="0"/>
            <c:bubble3D val="0"/>
            <c:extLst>
              <c:ext xmlns:c16="http://schemas.microsoft.com/office/drawing/2014/chart" uri="{C3380CC4-5D6E-409C-BE32-E72D297353CC}">
                <c16:uniqueId val="{0000002A-7958-4546-A105-6436CE5930F3}"/>
              </c:ext>
            </c:extLst>
          </c:dPt>
          <c:dPt>
            <c:idx val="43"/>
            <c:invertIfNegative val="0"/>
            <c:bubble3D val="0"/>
            <c:extLst>
              <c:ext xmlns:c16="http://schemas.microsoft.com/office/drawing/2014/chart" uri="{C3380CC4-5D6E-409C-BE32-E72D297353CC}">
                <c16:uniqueId val="{0000002B-7958-4546-A105-6436CE5930F3}"/>
              </c:ext>
            </c:extLst>
          </c:dPt>
          <c:dPt>
            <c:idx val="44"/>
            <c:invertIfNegative val="0"/>
            <c:bubble3D val="0"/>
            <c:extLst>
              <c:ext xmlns:c16="http://schemas.microsoft.com/office/drawing/2014/chart" uri="{C3380CC4-5D6E-409C-BE32-E72D297353CC}">
                <c16:uniqueId val="{0000002C-7958-4546-A105-6436CE5930F3}"/>
              </c:ext>
            </c:extLst>
          </c:dPt>
          <c:dPt>
            <c:idx val="45"/>
            <c:invertIfNegative val="0"/>
            <c:bubble3D val="0"/>
            <c:extLst>
              <c:ext xmlns:c16="http://schemas.microsoft.com/office/drawing/2014/chart" uri="{C3380CC4-5D6E-409C-BE32-E72D297353CC}">
                <c16:uniqueId val="{0000002D-7958-4546-A105-6436CE5930F3}"/>
              </c:ext>
            </c:extLst>
          </c:dPt>
          <c:dPt>
            <c:idx val="46"/>
            <c:invertIfNegative val="0"/>
            <c:bubble3D val="0"/>
            <c:extLst>
              <c:ext xmlns:c16="http://schemas.microsoft.com/office/drawing/2014/chart" uri="{C3380CC4-5D6E-409C-BE32-E72D297353CC}">
                <c16:uniqueId val="{0000002E-7958-4546-A105-6436CE5930F3}"/>
              </c:ext>
            </c:extLst>
          </c:dPt>
          <c:dPt>
            <c:idx val="47"/>
            <c:invertIfNegative val="0"/>
            <c:bubble3D val="0"/>
            <c:extLst>
              <c:ext xmlns:c16="http://schemas.microsoft.com/office/drawing/2014/chart" uri="{C3380CC4-5D6E-409C-BE32-E72D297353CC}">
                <c16:uniqueId val="{0000002F-7958-4546-A105-6436CE5930F3}"/>
              </c:ext>
            </c:extLst>
          </c:dPt>
          <c:dPt>
            <c:idx val="48"/>
            <c:invertIfNegative val="0"/>
            <c:bubble3D val="0"/>
            <c:extLst>
              <c:ext xmlns:c16="http://schemas.microsoft.com/office/drawing/2014/chart" uri="{C3380CC4-5D6E-409C-BE32-E72D297353CC}">
                <c16:uniqueId val="{00000030-7958-4546-A105-6436CE5930F3}"/>
              </c:ext>
            </c:extLst>
          </c:dPt>
          <c:dPt>
            <c:idx val="49"/>
            <c:invertIfNegative val="0"/>
            <c:bubble3D val="0"/>
            <c:extLst>
              <c:ext xmlns:c16="http://schemas.microsoft.com/office/drawing/2014/chart" uri="{C3380CC4-5D6E-409C-BE32-E72D297353CC}">
                <c16:uniqueId val="{00000031-7958-4546-A105-6436CE5930F3}"/>
              </c:ext>
            </c:extLst>
          </c:dPt>
          <c:dPt>
            <c:idx val="50"/>
            <c:invertIfNegative val="0"/>
            <c:bubble3D val="0"/>
            <c:extLst>
              <c:ext xmlns:c16="http://schemas.microsoft.com/office/drawing/2014/chart" uri="{C3380CC4-5D6E-409C-BE32-E72D297353CC}">
                <c16:uniqueId val="{00000032-7958-4546-A105-6436CE5930F3}"/>
              </c:ext>
            </c:extLst>
          </c:dPt>
          <c:dPt>
            <c:idx val="51"/>
            <c:invertIfNegative val="0"/>
            <c:bubble3D val="0"/>
            <c:extLst>
              <c:ext xmlns:c16="http://schemas.microsoft.com/office/drawing/2014/chart" uri="{C3380CC4-5D6E-409C-BE32-E72D297353CC}">
                <c16:uniqueId val="{00000033-7958-4546-A105-6436CE5930F3}"/>
              </c:ext>
            </c:extLst>
          </c:dPt>
          <c:dPt>
            <c:idx val="52"/>
            <c:invertIfNegative val="0"/>
            <c:bubble3D val="0"/>
            <c:extLst>
              <c:ext xmlns:c16="http://schemas.microsoft.com/office/drawing/2014/chart" uri="{C3380CC4-5D6E-409C-BE32-E72D297353CC}">
                <c16:uniqueId val="{00000034-7958-4546-A105-6436CE5930F3}"/>
              </c:ext>
            </c:extLst>
          </c:dPt>
          <c:dPt>
            <c:idx val="53"/>
            <c:invertIfNegative val="0"/>
            <c:bubble3D val="0"/>
            <c:extLst>
              <c:ext xmlns:c16="http://schemas.microsoft.com/office/drawing/2014/chart" uri="{C3380CC4-5D6E-409C-BE32-E72D297353CC}">
                <c16:uniqueId val="{00000035-7958-4546-A105-6436CE5930F3}"/>
              </c:ext>
            </c:extLst>
          </c:dPt>
          <c:dPt>
            <c:idx val="54"/>
            <c:invertIfNegative val="0"/>
            <c:bubble3D val="0"/>
            <c:extLst>
              <c:ext xmlns:c16="http://schemas.microsoft.com/office/drawing/2014/chart" uri="{C3380CC4-5D6E-409C-BE32-E72D297353CC}">
                <c16:uniqueId val="{00000036-7958-4546-A105-6436CE5930F3}"/>
              </c:ext>
            </c:extLst>
          </c:dPt>
          <c:dPt>
            <c:idx val="55"/>
            <c:invertIfNegative val="0"/>
            <c:bubble3D val="0"/>
            <c:extLst>
              <c:ext xmlns:c16="http://schemas.microsoft.com/office/drawing/2014/chart" uri="{C3380CC4-5D6E-409C-BE32-E72D297353CC}">
                <c16:uniqueId val="{00000037-7958-4546-A105-6436CE5930F3}"/>
              </c:ext>
            </c:extLst>
          </c:dPt>
          <c:dPt>
            <c:idx val="56"/>
            <c:invertIfNegative val="0"/>
            <c:bubble3D val="0"/>
            <c:extLst>
              <c:ext xmlns:c16="http://schemas.microsoft.com/office/drawing/2014/chart" uri="{C3380CC4-5D6E-409C-BE32-E72D297353CC}">
                <c16:uniqueId val="{00000038-7958-4546-A105-6436CE5930F3}"/>
              </c:ext>
            </c:extLst>
          </c:dPt>
          <c:dPt>
            <c:idx val="57"/>
            <c:invertIfNegative val="0"/>
            <c:bubble3D val="0"/>
            <c:extLst>
              <c:ext xmlns:c16="http://schemas.microsoft.com/office/drawing/2014/chart" uri="{C3380CC4-5D6E-409C-BE32-E72D297353CC}">
                <c16:uniqueId val="{00000039-7958-4546-A105-6436CE5930F3}"/>
              </c:ext>
            </c:extLst>
          </c:dPt>
          <c:dPt>
            <c:idx val="58"/>
            <c:invertIfNegative val="0"/>
            <c:bubble3D val="0"/>
            <c:extLst>
              <c:ext xmlns:c16="http://schemas.microsoft.com/office/drawing/2014/chart" uri="{C3380CC4-5D6E-409C-BE32-E72D297353CC}">
                <c16:uniqueId val="{0000003A-7958-4546-A105-6436CE5930F3}"/>
              </c:ext>
            </c:extLst>
          </c:dPt>
          <c:dPt>
            <c:idx val="59"/>
            <c:invertIfNegative val="0"/>
            <c:bubble3D val="0"/>
            <c:extLst>
              <c:ext xmlns:c16="http://schemas.microsoft.com/office/drawing/2014/chart" uri="{C3380CC4-5D6E-409C-BE32-E72D297353CC}">
                <c16:uniqueId val="{0000003B-7958-4546-A105-6436CE5930F3}"/>
              </c:ext>
            </c:extLst>
          </c:dPt>
          <c:dPt>
            <c:idx val="60"/>
            <c:invertIfNegative val="0"/>
            <c:bubble3D val="0"/>
            <c:extLst>
              <c:ext xmlns:c16="http://schemas.microsoft.com/office/drawing/2014/chart" uri="{C3380CC4-5D6E-409C-BE32-E72D297353CC}">
                <c16:uniqueId val="{0000003C-7958-4546-A105-6436CE5930F3}"/>
              </c:ext>
            </c:extLst>
          </c:dPt>
          <c:dPt>
            <c:idx val="61"/>
            <c:invertIfNegative val="0"/>
            <c:bubble3D val="0"/>
            <c:extLst>
              <c:ext xmlns:c16="http://schemas.microsoft.com/office/drawing/2014/chart" uri="{C3380CC4-5D6E-409C-BE32-E72D297353CC}">
                <c16:uniqueId val="{0000003D-7958-4546-A105-6436CE5930F3}"/>
              </c:ext>
            </c:extLst>
          </c:dPt>
          <c:dPt>
            <c:idx val="62"/>
            <c:invertIfNegative val="0"/>
            <c:bubble3D val="0"/>
            <c:extLst>
              <c:ext xmlns:c16="http://schemas.microsoft.com/office/drawing/2014/chart" uri="{C3380CC4-5D6E-409C-BE32-E72D297353CC}">
                <c16:uniqueId val="{0000003E-7958-4546-A105-6436CE5930F3}"/>
              </c:ext>
            </c:extLst>
          </c:dPt>
          <c:dPt>
            <c:idx val="63"/>
            <c:invertIfNegative val="0"/>
            <c:bubble3D val="0"/>
            <c:extLst>
              <c:ext xmlns:c16="http://schemas.microsoft.com/office/drawing/2014/chart" uri="{C3380CC4-5D6E-409C-BE32-E72D297353CC}">
                <c16:uniqueId val="{0000003F-7958-4546-A105-6436CE5930F3}"/>
              </c:ext>
            </c:extLst>
          </c:dPt>
          <c:dPt>
            <c:idx val="64"/>
            <c:invertIfNegative val="0"/>
            <c:bubble3D val="0"/>
            <c:extLst>
              <c:ext xmlns:c16="http://schemas.microsoft.com/office/drawing/2014/chart" uri="{C3380CC4-5D6E-409C-BE32-E72D297353CC}">
                <c16:uniqueId val="{00000040-7958-4546-A105-6436CE5930F3}"/>
              </c:ext>
            </c:extLst>
          </c:dPt>
          <c:dPt>
            <c:idx val="65"/>
            <c:invertIfNegative val="0"/>
            <c:bubble3D val="0"/>
            <c:extLst>
              <c:ext xmlns:c16="http://schemas.microsoft.com/office/drawing/2014/chart" uri="{C3380CC4-5D6E-409C-BE32-E72D297353CC}">
                <c16:uniqueId val="{00000041-7958-4546-A105-6436CE5930F3}"/>
              </c:ext>
            </c:extLst>
          </c:dPt>
          <c:dPt>
            <c:idx val="66"/>
            <c:invertIfNegative val="0"/>
            <c:bubble3D val="0"/>
            <c:extLst>
              <c:ext xmlns:c16="http://schemas.microsoft.com/office/drawing/2014/chart" uri="{C3380CC4-5D6E-409C-BE32-E72D297353CC}">
                <c16:uniqueId val="{00000042-7958-4546-A105-6436CE5930F3}"/>
              </c:ext>
            </c:extLst>
          </c:dPt>
          <c:dPt>
            <c:idx val="67"/>
            <c:invertIfNegative val="0"/>
            <c:bubble3D val="0"/>
            <c:extLst>
              <c:ext xmlns:c16="http://schemas.microsoft.com/office/drawing/2014/chart" uri="{C3380CC4-5D6E-409C-BE32-E72D297353CC}">
                <c16:uniqueId val="{00000043-7958-4546-A105-6436CE5930F3}"/>
              </c:ext>
            </c:extLst>
          </c:dPt>
          <c:dPt>
            <c:idx val="68"/>
            <c:invertIfNegative val="0"/>
            <c:bubble3D val="0"/>
            <c:extLst>
              <c:ext xmlns:c16="http://schemas.microsoft.com/office/drawing/2014/chart" uri="{C3380CC4-5D6E-409C-BE32-E72D297353CC}">
                <c16:uniqueId val="{00000044-7958-4546-A105-6436CE5930F3}"/>
              </c:ext>
            </c:extLst>
          </c:dPt>
          <c:dPt>
            <c:idx val="69"/>
            <c:invertIfNegative val="0"/>
            <c:bubble3D val="0"/>
            <c:extLst>
              <c:ext xmlns:c16="http://schemas.microsoft.com/office/drawing/2014/chart" uri="{C3380CC4-5D6E-409C-BE32-E72D297353CC}">
                <c16:uniqueId val="{00000045-7958-4546-A105-6436CE5930F3}"/>
              </c:ext>
            </c:extLst>
          </c:dPt>
          <c:dPt>
            <c:idx val="70"/>
            <c:invertIfNegative val="0"/>
            <c:bubble3D val="0"/>
            <c:extLst>
              <c:ext xmlns:c16="http://schemas.microsoft.com/office/drawing/2014/chart" uri="{C3380CC4-5D6E-409C-BE32-E72D297353CC}">
                <c16:uniqueId val="{00000046-7958-4546-A105-6436CE5930F3}"/>
              </c:ext>
            </c:extLst>
          </c:dPt>
          <c:dPt>
            <c:idx val="71"/>
            <c:invertIfNegative val="0"/>
            <c:bubble3D val="0"/>
            <c:extLst>
              <c:ext xmlns:c16="http://schemas.microsoft.com/office/drawing/2014/chart" uri="{C3380CC4-5D6E-409C-BE32-E72D297353CC}">
                <c16:uniqueId val="{00000047-7958-4546-A105-6436CE5930F3}"/>
              </c:ext>
            </c:extLst>
          </c:dPt>
          <c:dPt>
            <c:idx val="72"/>
            <c:invertIfNegative val="0"/>
            <c:bubble3D val="0"/>
            <c:extLst>
              <c:ext xmlns:c16="http://schemas.microsoft.com/office/drawing/2014/chart" uri="{C3380CC4-5D6E-409C-BE32-E72D297353CC}">
                <c16:uniqueId val="{00000048-7958-4546-A105-6436CE5930F3}"/>
              </c:ext>
            </c:extLst>
          </c:dPt>
          <c:dPt>
            <c:idx val="73"/>
            <c:invertIfNegative val="0"/>
            <c:bubble3D val="0"/>
            <c:extLst>
              <c:ext xmlns:c16="http://schemas.microsoft.com/office/drawing/2014/chart" uri="{C3380CC4-5D6E-409C-BE32-E72D297353CC}">
                <c16:uniqueId val="{00000049-7958-4546-A105-6436CE5930F3}"/>
              </c:ext>
            </c:extLst>
          </c:dPt>
          <c:dPt>
            <c:idx val="74"/>
            <c:invertIfNegative val="0"/>
            <c:bubble3D val="0"/>
            <c:extLst>
              <c:ext xmlns:c16="http://schemas.microsoft.com/office/drawing/2014/chart" uri="{C3380CC4-5D6E-409C-BE32-E72D297353CC}">
                <c16:uniqueId val="{0000004A-7958-4546-A105-6436CE5930F3}"/>
              </c:ext>
            </c:extLst>
          </c:dPt>
          <c:dPt>
            <c:idx val="75"/>
            <c:invertIfNegative val="0"/>
            <c:bubble3D val="0"/>
            <c:extLst>
              <c:ext xmlns:c16="http://schemas.microsoft.com/office/drawing/2014/chart" uri="{C3380CC4-5D6E-409C-BE32-E72D297353CC}">
                <c16:uniqueId val="{0000004B-7958-4546-A105-6436CE5930F3}"/>
              </c:ext>
            </c:extLst>
          </c:dPt>
          <c:dPt>
            <c:idx val="76"/>
            <c:invertIfNegative val="0"/>
            <c:bubble3D val="0"/>
            <c:extLst>
              <c:ext xmlns:c16="http://schemas.microsoft.com/office/drawing/2014/chart" uri="{C3380CC4-5D6E-409C-BE32-E72D297353CC}">
                <c16:uniqueId val="{0000004C-7958-4546-A105-6436CE5930F3}"/>
              </c:ext>
            </c:extLst>
          </c:dPt>
          <c:dPt>
            <c:idx val="77"/>
            <c:invertIfNegative val="0"/>
            <c:bubble3D val="0"/>
            <c:extLst>
              <c:ext xmlns:c16="http://schemas.microsoft.com/office/drawing/2014/chart" uri="{C3380CC4-5D6E-409C-BE32-E72D297353CC}">
                <c16:uniqueId val="{0000004D-7958-4546-A105-6436CE5930F3}"/>
              </c:ext>
            </c:extLst>
          </c:dPt>
          <c:dPt>
            <c:idx val="78"/>
            <c:invertIfNegative val="0"/>
            <c:bubble3D val="0"/>
            <c:extLst>
              <c:ext xmlns:c16="http://schemas.microsoft.com/office/drawing/2014/chart" uri="{C3380CC4-5D6E-409C-BE32-E72D297353CC}">
                <c16:uniqueId val="{0000004E-7958-4546-A105-6436CE5930F3}"/>
              </c:ext>
            </c:extLst>
          </c:dPt>
          <c:dPt>
            <c:idx val="79"/>
            <c:invertIfNegative val="0"/>
            <c:bubble3D val="0"/>
            <c:extLst>
              <c:ext xmlns:c16="http://schemas.microsoft.com/office/drawing/2014/chart" uri="{C3380CC4-5D6E-409C-BE32-E72D297353CC}">
                <c16:uniqueId val="{0000004F-7958-4546-A105-6436CE5930F3}"/>
              </c:ext>
            </c:extLst>
          </c:dPt>
          <c:dPt>
            <c:idx val="80"/>
            <c:invertIfNegative val="0"/>
            <c:bubble3D val="0"/>
            <c:extLst>
              <c:ext xmlns:c16="http://schemas.microsoft.com/office/drawing/2014/chart" uri="{C3380CC4-5D6E-409C-BE32-E72D297353CC}">
                <c16:uniqueId val="{00000050-7958-4546-A105-6436CE5930F3}"/>
              </c:ext>
            </c:extLst>
          </c:dPt>
          <c:dPt>
            <c:idx val="81"/>
            <c:invertIfNegative val="0"/>
            <c:bubble3D val="0"/>
            <c:extLst>
              <c:ext xmlns:c16="http://schemas.microsoft.com/office/drawing/2014/chart" uri="{C3380CC4-5D6E-409C-BE32-E72D297353CC}">
                <c16:uniqueId val="{00000051-7958-4546-A105-6436CE5930F3}"/>
              </c:ext>
            </c:extLst>
          </c:dPt>
          <c:dPt>
            <c:idx val="82"/>
            <c:invertIfNegative val="0"/>
            <c:bubble3D val="0"/>
            <c:extLst>
              <c:ext xmlns:c16="http://schemas.microsoft.com/office/drawing/2014/chart" uri="{C3380CC4-5D6E-409C-BE32-E72D297353CC}">
                <c16:uniqueId val="{00000052-7958-4546-A105-6436CE5930F3}"/>
              </c:ext>
            </c:extLst>
          </c:dPt>
          <c:dPt>
            <c:idx val="83"/>
            <c:invertIfNegative val="0"/>
            <c:bubble3D val="0"/>
            <c:extLst>
              <c:ext xmlns:c16="http://schemas.microsoft.com/office/drawing/2014/chart" uri="{C3380CC4-5D6E-409C-BE32-E72D297353CC}">
                <c16:uniqueId val="{00000053-7958-4546-A105-6436CE5930F3}"/>
              </c:ext>
            </c:extLst>
          </c:dPt>
          <c:dPt>
            <c:idx val="84"/>
            <c:invertIfNegative val="0"/>
            <c:bubble3D val="0"/>
            <c:extLst>
              <c:ext xmlns:c16="http://schemas.microsoft.com/office/drawing/2014/chart" uri="{C3380CC4-5D6E-409C-BE32-E72D297353CC}">
                <c16:uniqueId val="{00000054-7958-4546-A105-6436CE5930F3}"/>
              </c:ext>
            </c:extLst>
          </c:dPt>
          <c:dPt>
            <c:idx val="85"/>
            <c:invertIfNegative val="0"/>
            <c:bubble3D val="0"/>
            <c:extLst>
              <c:ext xmlns:c16="http://schemas.microsoft.com/office/drawing/2014/chart" uri="{C3380CC4-5D6E-409C-BE32-E72D297353CC}">
                <c16:uniqueId val="{00000055-7958-4546-A105-6436CE5930F3}"/>
              </c:ext>
            </c:extLst>
          </c:dPt>
          <c:dPt>
            <c:idx val="86"/>
            <c:invertIfNegative val="0"/>
            <c:bubble3D val="0"/>
            <c:extLst>
              <c:ext xmlns:c16="http://schemas.microsoft.com/office/drawing/2014/chart" uri="{C3380CC4-5D6E-409C-BE32-E72D297353CC}">
                <c16:uniqueId val="{00000056-7958-4546-A105-6436CE5930F3}"/>
              </c:ext>
            </c:extLst>
          </c:dPt>
          <c:dPt>
            <c:idx val="87"/>
            <c:invertIfNegative val="0"/>
            <c:bubble3D val="0"/>
            <c:extLst>
              <c:ext xmlns:c16="http://schemas.microsoft.com/office/drawing/2014/chart" uri="{C3380CC4-5D6E-409C-BE32-E72D297353CC}">
                <c16:uniqueId val="{00000057-7958-4546-A105-6436CE5930F3}"/>
              </c:ext>
            </c:extLst>
          </c:dPt>
          <c:dPt>
            <c:idx val="88"/>
            <c:invertIfNegative val="0"/>
            <c:bubble3D val="0"/>
            <c:extLst>
              <c:ext xmlns:c16="http://schemas.microsoft.com/office/drawing/2014/chart" uri="{C3380CC4-5D6E-409C-BE32-E72D297353CC}">
                <c16:uniqueId val="{00000058-7958-4546-A105-6436CE5930F3}"/>
              </c:ext>
            </c:extLst>
          </c:dPt>
          <c:dPt>
            <c:idx val="89"/>
            <c:invertIfNegative val="0"/>
            <c:bubble3D val="0"/>
            <c:extLst>
              <c:ext xmlns:c16="http://schemas.microsoft.com/office/drawing/2014/chart" uri="{C3380CC4-5D6E-409C-BE32-E72D297353CC}">
                <c16:uniqueId val="{00000059-7958-4546-A105-6436CE5930F3}"/>
              </c:ext>
            </c:extLst>
          </c:dPt>
          <c:dPt>
            <c:idx val="90"/>
            <c:invertIfNegative val="0"/>
            <c:bubble3D val="0"/>
            <c:extLst>
              <c:ext xmlns:c16="http://schemas.microsoft.com/office/drawing/2014/chart" uri="{C3380CC4-5D6E-409C-BE32-E72D297353CC}">
                <c16:uniqueId val="{0000005A-7958-4546-A105-6436CE5930F3}"/>
              </c:ext>
            </c:extLst>
          </c:dPt>
          <c:dPt>
            <c:idx val="91"/>
            <c:invertIfNegative val="0"/>
            <c:bubble3D val="0"/>
            <c:extLst>
              <c:ext xmlns:c16="http://schemas.microsoft.com/office/drawing/2014/chart" uri="{C3380CC4-5D6E-409C-BE32-E72D297353CC}">
                <c16:uniqueId val="{0000005B-7958-4546-A105-6436CE5930F3}"/>
              </c:ext>
            </c:extLst>
          </c:dPt>
          <c:dPt>
            <c:idx val="92"/>
            <c:invertIfNegative val="0"/>
            <c:bubble3D val="0"/>
            <c:extLst>
              <c:ext xmlns:c16="http://schemas.microsoft.com/office/drawing/2014/chart" uri="{C3380CC4-5D6E-409C-BE32-E72D297353CC}">
                <c16:uniqueId val="{0000005C-7958-4546-A105-6436CE5930F3}"/>
              </c:ext>
            </c:extLst>
          </c:dPt>
          <c:dPt>
            <c:idx val="93"/>
            <c:invertIfNegative val="0"/>
            <c:bubble3D val="0"/>
            <c:extLst>
              <c:ext xmlns:c16="http://schemas.microsoft.com/office/drawing/2014/chart" uri="{C3380CC4-5D6E-409C-BE32-E72D297353CC}">
                <c16:uniqueId val="{0000005D-7958-4546-A105-6436CE5930F3}"/>
              </c:ext>
            </c:extLst>
          </c:dPt>
          <c:dPt>
            <c:idx val="94"/>
            <c:invertIfNegative val="0"/>
            <c:bubble3D val="0"/>
            <c:extLst>
              <c:ext xmlns:c16="http://schemas.microsoft.com/office/drawing/2014/chart" uri="{C3380CC4-5D6E-409C-BE32-E72D297353CC}">
                <c16:uniqueId val="{0000005E-7958-4546-A105-6436CE5930F3}"/>
              </c:ext>
            </c:extLst>
          </c:dPt>
          <c:dPt>
            <c:idx val="95"/>
            <c:invertIfNegative val="0"/>
            <c:bubble3D val="0"/>
            <c:extLst>
              <c:ext xmlns:c16="http://schemas.microsoft.com/office/drawing/2014/chart" uri="{C3380CC4-5D6E-409C-BE32-E72D297353CC}">
                <c16:uniqueId val="{0000005F-7958-4546-A105-6436CE5930F3}"/>
              </c:ext>
            </c:extLst>
          </c:dPt>
          <c:dPt>
            <c:idx val="96"/>
            <c:invertIfNegative val="0"/>
            <c:bubble3D val="0"/>
            <c:extLst>
              <c:ext xmlns:c16="http://schemas.microsoft.com/office/drawing/2014/chart" uri="{C3380CC4-5D6E-409C-BE32-E72D297353CC}">
                <c16:uniqueId val="{00000060-7958-4546-A105-6436CE5930F3}"/>
              </c:ext>
            </c:extLst>
          </c:dPt>
          <c:dPt>
            <c:idx val="97"/>
            <c:invertIfNegative val="0"/>
            <c:bubble3D val="0"/>
            <c:extLst>
              <c:ext xmlns:c16="http://schemas.microsoft.com/office/drawing/2014/chart" uri="{C3380CC4-5D6E-409C-BE32-E72D297353CC}">
                <c16:uniqueId val="{00000061-7958-4546-A105-6436CE5930F3}"/>
              </c:ext>
            </c:extLst>
          </c:dPt>
          <c:dPt>
            <c:idx val="98"/>
            <c:invertIfNegative val="0"/>
            <c:bubble3D val="0"/>
            <c:extLst>
              <c:ext xmlns:c16="http://schemas.microsoft.com/office/drawing/2014/chart" uri="{C3380CC4-5D6E-409C-BE32-E72D297353CC}">
                <c16:uniqueId val="{00000062-7958-4546-A105-6436CE5930F3}"/>
              </c:ext>
            </c:extLst>
          </c:dPt>
          <c:dPt>
            <c:idx val="99"/>
            <c:invertIfNegative val="0"/>
            <c:bubble3D val="0"/>
            <c:extLst>
              <c:ext xmlns:c16="http://schemas.microsoft.com/office/drawing/2014/chart" uri="{C3380CC4-5D6E-409C-BE32-E72D297353CC}">
                <c16:uniqueId val="{00000063-7958-4546-A105-6436CE5930F3}"/>
              </c:ext>
            </c:extLst>
          </c:dPt>
          <c:dPt>
            <c:idx val="100"/>
            <c:invertIfNegative val="0"/>
            <c:bubble3D val="0"/>
            <c:extLst>
              <c:ext xmlns:c16="http://schemas.microsoft.com/office/drawing/2014/chart" uri="{C3380CC4-5D6E-409C-BE32-E72D297353CC}">
                <c16:uniqueId val="{00000064-7958-4546-A105-6436CE5930F3}"/>
              </c:ext>
            </c:extLst>
          </c:dPt>
          <c:dPt>
            <c:idx val="101"/>
            <c:invertIfNegative val="0"/>
            <c:bubble3D val="0"/>
            <c:extLst>
              <c:ext xmlns:c16="http://schemas.microsoft.com/office/drawing/2014/chart" uri="{C3380CC4-5D6E-409C-BE32-E72D297353CC}">
                <c16:uniqueId val="{00000065-7958-4546-A105-6436CE5930F3}"/>
              </c:ext>
            </c:extLst>
          </c:dPt>
          <c:dPt>
            <c:idx val="102"/>
            <c:invertIfNegative val="0"/>
            <c:bubble3D val="0"/>
            <c:extLst>
              <c:ext xmlns:c16="http://schemas.microsoft.com/office/drawing/2014/chart" uri="{C3380CC4-5D6E-409C-BE32-E72D297353CC}">
                <c16:uniqueId val="{00000066-7958-4546-A105-6436CE5930F3}"/>
              </c:ext>
            </c:extLst>
          </c:dPt>
          <c:dPt>
            <c:idx val="103"/>
            <c:invertIfNegative val="0"/>
            <c:bubble3D val="0"/>
            <c:extLst>
              <c:ext xmlns:c16="http://schemas.microsoft.com/office/drawing/2014/chart" uri="{C3380CC4-5D6E-409C-BE32-E72D297353CC}">
                <c16:uniqueId val="{00000067-7958-4546-A105-6436CE5930F3}"/>
              </c:ext>
            </c:extLst>
          </c:dPt>
          <c:cat>
            <c:strRef>
              <c:f>Sheet1!$B$1:$DA$1</c:f>
              <c:strCache>
                <c:ptCount val="99"/>
                <c:pt idx="0">
                  <c:v>0</c:v>
                </c:pt>
                <c:pt idx="1">
                  <c:v>  </c:v>
                </c:pt>
                <c:pt idx="2">
                  <c:v> </c:v>
                </c:pt>
                <c:pt idx="3">
                  <c:v> </c:v>
                </c:pt>
                <c:pt idx="4">
                  <c:v> </c:v>
                </c:pt>
                <c:pt idx="5">
                  <c:v> </c:v>
                </c:pt>
                <c:pt idx="6">
                  <c:v> </c:v>
                </c:pt>
                <c:pt idx="7">
                  <c:v> </c:v>
                </c:pt>
                <c:pt idx="8">
                  <c:v> </c:v>
                </c:pt>
                <c:pt idx="9">
                  <c:v> </c:v>
                </c:pt>
                <c:pt idx="10">
                  <c:v>10</c:v>
                </c:pt>
                <c:pt idx="11">
                  <c:v> </c:v>
                </c:pt>
                <c:pt idx="12">
                  <c:v> </c:v>
                </c:pt>
                <c:pt idx="13">
                  <c:v> </c:v>
                </c:pt>
                <c:pt idx="14">
                  <c:v> </c:v>
                </c:pt>
                <c:pt idx="15">
                  <c:v> </c:v>
                </c:pt>
                <c:pt idx="16">
                  <c:v> </c:v>
                </c:pt>
                <c:pt idx="17">
                  <c:v> </c:v>
                </c:pt>
                <c:pt idx="18">
                  <c:v> </c:v>
                </c:pt>
                <c:pt idx="19">
                  <c:v> </c:v>
                </c:pt>
                <c:pt idx="20">
                  <c:v>20</c:v>
                </c:pt>
                <c:pt idx="21">
                  <c:v> </c:v>
                </c:pt>
                <c:pt idx="22">
                  <c:v> </c:v>
                </c:pt>
                <c:pt idx="23">
                  <c:v> </c:v>
                </c:pt>
                <c:pt idx="24">
                  <c:v> </c:v>
                </c:pt>
                <c:pt idx="25">
                  <c:v> </c:v>
                </c:pt>
                <c:pt idx="26">
                  <c:v> </c:v>
                </c:pt>
                <c:pt idx="27">
                  <c:v> </c:v>
                </c:pt>
                <c:pt idx="28">
                  <c:v> </c:v>
                </c:pt>
                <c:pt idx="29">
                  <c:v> </c:v>
                </c:pt>
                <c:pt idx="30">
                  <c:v>30</c:v>
                </c:pt>
                <c:pt idx="31">
                  <c:v> </c:v>
                </c:pt>
                <c:pt idx="32">
                  <c:v> </c:v>
                </c:pt>
                <c:pt idx="33">
                  <c:v> </c:v>
                </c:pt>
                <c:pt idx="34">
                  <c:v> </c:v>
                </c:pt>
                <c:pt idx="35">
                  <c:v> </c:v>
                </c:pt>
                <c:pt idx="36">
                  <c:v> </c:v>
                </c:pt>
                <c:pt idx="37">
                  <c:v> </c:v>
                </c:pt>
                <c:pt idx="38">
                  <c:v> </c:v>
                </c:pt>
                <c:pt idx="39">
                  <c:v> </c:v>
                </c:pt>
                <c:pt idx="40">
                  <c:v>40</c:v>
                </c:pt>
                <c:pt idx="41">
                  <c:v> </c:v>
                </c:pt>
                <c:pt idx="42">
                  <c:v> </c:v>
                </c:pt>
                <c:pt idx="43">
                  <c:v> </c:v>
                </c:pt>
                <c:pt idx="44">
                  <c:v> </c:v>
                </c:pt>
                <c:pt idx="45">
                  <c:v> </c:v>
                </c:pt>
                <c:pt idx="46">
                  <c:v> </c:v>
                </c:pt>
                <c:pt idx="47">
                  <c:v> </c:v>
                </c:pt>
                <c:pt idx="48">
                  <c:v> </c:v>
                </c:pt>
                <c:pt idx="49">
                  <c:v> </c:v>
                </c:pt>
                <c:pt idx="50">
                  <c:v>50</c:v>
                </c:pt>
                <c:pt idx="51">
                  <c:v> </c:v>
                </c:pt>
                <c:pt idx="52">
                  <c:v> </c:v>
                </c:pt>
                <c:pt idx="53">
                  <c:v> </c:v>
                </c:pt>
                <c:pt idx="54">
                  <c:v> </c:v>
                </c:pt>
                <c:pt idx="55">
                  <c:v> </c:v>
                </c:pt>
                <c:pt idx="56">
                  <c:v> </c:v>
                </c:pt>
                <c:pt idx="57">
                  <c:v> </c:v>
                </c:pt>
                <c:pt idx="58">
                  <c:v> </c:v>
                </c:pt>
                <c:pt idx="59">
                  <c:v> </c:v>
                </c:pt>
                <c:pt idx="60">
                  <c:v>60</c:v>
                </c:pt>
                <c:pt idx="61">
                  <c:v> </c:v>
                </c:pt>
                <c:pt idx="62">
                  <c:v> </c:v>
                </c:pt>
                <c:pt idx="63">
                  <c:v> </c:v>
                </c:pt>
                <c:pt idx="64">
                  <c:v> </c:v>
                </c:pt>
                <c:pt idx="65">
                  <c:v> </c:v>
                </c:pt>
                <c:pt idx="66">
                  <c:v> </c:v>
                </c:pt>
                <c:pt idx="67">
                  <c:v> </c:v>
                </c:pt>
                <c:pt idx="68">
                  <c:v> </c:v>
                </c:pt>
                <c:pt idx="69">
                  <c:v> </c:v>
                </c:pt>
                <c:pt idx="70">
                  <c:v>70</c:v>
                </c:pt>
                <c:pt idx="71">
                  <c:v> </c:v>
                </c:pt>
                <c:pt idx="72">
                  <c:v> </c:v>
                </c:pt>
                <c:pt idx="73">
                  <c:v> </c:v>
                </c:pt>
                <c:pt idx="74">
                  <c:v> </c:v>
                </c:pt>
                <c:pt idx="75">
                  <c:v>  </c:v>
                </c:pt>
                <c:pt idx="76">
                  <c:v> </c:v>
                </c:pt>
                <c:pt idx="77">
                  <c:v> </c:v>
                </c:pt>
                <c:pt idx="78">
                  <c:v> </c:v>
                </c:pt>
                <c:pt idx="79">
                  <c:v> </c:v>
                </c:pt>
                <c:pt idx="80">
                  <c:v>80</c:v>
                </c:pt>
                <c:pt idx="81">
                  <c:v> </c:v>
                </c:pt>
                <c:pt idx="82">
                  <c:v> </c:v>
                </c:pt>
                <c:pt idx="83">
                  <c:v> </c:v>
                </c:pt>
                <c:pt idx="84">
                  <c:v> </c:v>
                </c:pt>
                <c:pt idx="85">
                  <c:v> </c:v>
                </c:pt>
                <c:pt idx="86">
                  <c:v> </c:v>
                </c:pt>
                <c:pt idx="87">
                  <c:v> </c:v>
                </c:pt>
                <c:pt idx="88">
                  <c:v> </c:v>
                </c:pt>
                <c:pt idx="89">
                  <c:v> </c:v>
                </c:pt>
                <c:pt idx="90">
                  <c:v> </c:v>
                </c:pt>
                <c:pt idx="91">
                  <c:v>90</c:v>
                </c:pt>
                <c:pt idx="92">
                  <c:v> </c:v>
                </c:pt>
                <c:pt idx="93">
                  <c:v> </c:v>
                </c:pt>
                <c:pt idx="94">
                  <c:v> </c:v>
                </c:pt>
                <c:pt idx="95">
                  <c:v> </c:v>
                </c:pt>
                <c:pt idx="96">
                  <c:v> </c:v>
                </c:pt>
                <c:pt idx="97">
                  <c:v> </c:v>
                </c:pt>
                <c:pt idx="98">
                  <c:v> </c:v>
                </c:pt>
              </c:strCache>
            </c:strRef>
          </c:cat>
          <c:val>
            <c:numRef>
              <c:f>Sheet1!$B$2:$DA$2</c:f>
              <c:numCache>
                <c:formatCode>General</c:formatCode>
                <c:ptCount val="104"/>
                <c:pt idx="0">
                  <c:v>2749</c:v>
                </c:pt>
                <c:pt idx="1">
                  <c:v>2870</c:v>
                </c:pt>
                <c:pt idx="2">
                  <c:v>2743</c:v>
                </c:pt>
                <c:pt idx="3">
                  <c:v>2993</c:v>
                </c:pt>
                <c:pt idx="4">
                  <c:v>3094</c:v>
                </c:pt>
                <c:pt idx="5">
                  <c:v>3219</c:v>
                </c:pt>
                <c:pt idx="6">
                  <c:v>3253</c:v>
                </c:pt>
                <c:pt idx="7">
                  <c:v>3202</c:v>
                </c:pt>
                <c:pt idx="8">
                  <c:v>3152</c:v>
                </c:pt>
                <c:pt idx="9">
                  <c:v>3087</c:v>
                </c:pt>
                <c:pt idx="10">
                  <c:v>3163</c:v>
                </c:pt>
                <c:pt idx="11">
                  <c:v>3152</c:v>
                </c:pt>
                <c:pt idx="12">
                  <c:v>3605</c:v>
                </c:pt>
                <c:pt idx="13">
                  <c:v>3841</c:v>
                </c:pt>
                <c:pt idx="14">
                  <c:v>3740</c:v>
                </c:pt>
                <c:pt idx="15">
                  <c:v>3713</c:v>
                </c:pt>
                <c:pt idx="16">
                  <c:v>3970</c:v>
                </c:pt>
                <c:pt idx="17">
                  <c:v>3987</c:v>
                </c:pt>
                <c:pt idx="18">
                  <c:v>3634</c:v>
                </c:pt>
                <c:pt idx="19">
                  <c:v>3278</c:v>
                </c:pt>
                <c:pt idx="20">
                  <c:v>3197</c:v>
                </c:pt>
                <c:pt idx="21">
                  <c:v>3065</c:v>
                </c:pt>
                <c:pt idx="22">
                  <c:v>3178</c:v>
                </c:pt>
                <c:pt idx="23">
                  <c:v>3012</c:v>
                </c:pt>
                <c:pt idx="24">
                  <c:v>2868</c:v>
                </c:pt>
                <c:pt idx="25">
                  <c:v>2863</c:v>
                </c:pt>
                <c:pt idx="26">
                  <c:v>2863</c:v>
                </c:pt>
                <c:pt idx="27">
                  <c:v>2815</c:v>
                </c:pt>
                <c:pt idx="28">
                  <c:v>2930</c:v>
                </c:pt>
                <c:pt idx="29">
                  <c:v>2987</c:v>
                </c:pt>
                <c:pt idx="30">
                  <c:v>2991</c:v>
                </c:pt>
                <c:pt idx="31">
                  <c:v>3020</c:v>
                </c:pt>
                <c:pt idx="32">
                  <c:v>3588</c:v>
                </c:pt>
                <c:pt idx="33">
                  <c:v>4248</c:v>
                </c:pt>
                <c:pt idx="34">
                  <c:v>4418</c:v>
                </c:pt>
                <c:pt idx="35">
                  <c:v>4589</c:v>
                </c:pt>
                <c:pt idx="36">
                  <c:v>4248</c:v>
                </c:pt>
                <c:pt idx="37">
                  <c:v>4110</c:v>
                </c:pt>
                <c:pt idx="38">
                  <c:v>3964</c:v>
                </c:pt>
                <c:pt idx="39">
                  <c:v>3658</c:v>
                </c:pt>
                <c:pt idx="40">
                  <c:v>3990</c:v>
                </c:pt>
                <c:pt idx="41">
                  <c:v>4652</c:v>
                </c:pt>
                <c:pt idx="42">
                  <c:v>4902</c:v>
                </c:pt>
                <c:pt idx="43">
                  <c:v>5173</c:v>
                </c:pt>
                <c:pt idx="44">
                  <c:v>5169</c:v>
                </c:pt>
                <c:pt idx="45">
                  <c:v>5289</c:v>
                </c:pt>
                <c:pt idx="46">
                  <c:v>5439</c:v>
                </c:pt>
                <c:pt idx="47">
                  <c:v>5474</c:v>
                </c:pt>
                <c:pt idx="48">
                  <c:v>5605</c:v>
                </c:pt>
                <c:pt idx="49">
                  <c:v>5154</c:v>
                </c:pt>
                <c:pt idx="50">
                  <c:v>5585</c:v>
                </c:pt>
                <c:pt idx="51">
                  <c:v>5979</c:v>
                </c:pt>
                <c:pt idx="52">
                  <c:v>6185</c:v>
                </c:pt>
                <c:pt idx="53">
                  <c:v>6851</c:v>
                </c:pt>
                <c:pt idx="54">
                  <c:v>8187</c:v>
                </c:pt>
                <c:pt idx="55">
                  <c:v>7918</c:v>
                </c:pt>
                <c:pt idx="56">
                  <c:v>3539</c:v>
                </c:pt>
                <c:pt idx="57">
                  <c:v>3808</c:v>
                </c:pt>
                <c:pt idx="58">
                  <c:v>3777</c:v>
                </c:pt>
                <c:pt idx="59">
                  <c:v>3813</c:v>
                </c:pt>
                <c:pt idx="60">
                  <c:v>4270</c:v>
                </c:pt>
                <c:pt idx="61">
                  <c:v>4521</c:v>
                </c:pt>
                <c:pt idx="62">
                  <c:v>4674</c:v>
                </c:pt>
                <c:pt idx="63">
                  <c:v>4983</c:v>
                </c:pt>
                <c:pt idx="64">
                  <c:v>5193</c:v>
                </c:pt>
                <c:pt idx="65">
                  <c:v>5317</c:v>
                </c:pt>
                <c:pt idx="66">
                  <c:v>5527</c:v>
                </c:pt>
                <c:pt idx="67">
                  <c:v>5883</c:v>
                </c:pt>
                <c:pt idx="68">
                  <c:v>5307</c:v>
                </c:pt>
                <c:pt idx="69">
                  <c:v>5365</c:v>
                </c:pt>
                <c:pt idx="70">
                  <c:v>4949</c:v>
                </c:pt>
                <c:pt idx="71">
                  <c:v>4691</c:v>
                </c:pt>
                <c:pt idx="72">
                  <c:v>4839</c:v>
                </c:pt>
                <c:pt idx="73">
                  <c:v>5120</c:v>
                </c:pt>
                <c:pt idx="74">
                  <c:v>3512</c:v>
                </c:pt>
                <c:pt idx="75">
                  <c:v>3345</c:v>
                </c:pt>
                <c:pt idx="76">
                  <c:v>3493</c:v>
                </c:pt>
                <c:pt idx="77">
                  <c:v>2931</c:v>
                </c:pt>
                <c:pt idx="78">
                  <c:v>3095</c:v>
                </c:pt>
                <c:pt idx="79">
                  <c:v>2521</c:v>
                </c:pt>
                <c:pt idx="80">
                  <c:v>2519</c:v>
                </c:pt>
                <c:pt idx="81">
                  <c:v>2618</c:v>
                </c:pt>
                <c:pt idx="82">
                  <c:v>2670</c:v>
                </c:pt>
                <c:pt idx="83">
                  <c:v>2858</c:v>
                </c:pt>
                <c:pt idx="84">
                  <c:v>2528</c:v>
                </c:pt>
                <c:pt idx="85">
                  <c:v>2465</c:v>
                </c:pt>
                <c:pt idx="86">
                  <c:v>2379</c:v>
                </c:pt>
                <c:pt idx="87">
                  <c:v>2213</c:v>
                </c:pt>
                <c:pt idx="88">
                  <c:v>1297</c:v>
                </c:pt>
                <c:pt idx="89">
                  <c:v>802</c:v>
                </c:pt>
                <c:pt idx="90">
                  <c:v>534</c:v>
                </c:pt>
                <c:pt idx="91">
                  <c:v>431</c:v>
                </c:pt>
                <c:pt idx="92">
                  <c:v>381</c:v>
                </c:pt>
                <c:pt idx="93">
                  <c:v>330</c:v>
                </c:pt>
                <c:pt idx="94">
                  <c:v>251</c:v>
                </c:pt>
                <c:pt idx="95">
                  <c:v>45</c:v>
                </c:pt>
                <c:pt idx="96">
                  <c:v>34</c:v>
                </c:pt>
                <c:pt idx="97">
                  <c:v>18</c:v>
                </c:pt>
                <c:pt idx="98">
                  <c:v>10</c:v>
                </c:pt>
                <c:pt idx="99">
                  <c:v>8</c:v>
                </c:pt>
                <c:pt idx="100">
                  <c:v>10</c:v>
                </c:pt>
                <c:pt idx="101">
                  <c:v>2</c:v>
                </c:pt>
                <c:pt idx="102">
                  <c:v>1</c:v>
                </c:pt>
                <c:pt idx="103">
                  <c:v>1</c:v>
                </c:pt>
              </c:numCache>
            </c:numRef>
          </c:val>
          <c:extLst>
            <c:ext xmlns:c16="http://schemas.microsoft.com/office/drawing/2014/chart" uri="{C3380CC4-5D6E-409C-BE32-E72D297353CC}">
              <c16:uniqueId val="{00000068-7958-4546-A105-6436CE5930F3}"/>
            </c:ext>
          </c:extLst>
        </c:ser>
        <c:dLbls>
          <c:showLegendKey val="0"/>
          <c:showVal val="0"/>
          <c:showCatName val="0"/>
          <c:showSerName val="0"/>
          <c:showPercent val="0"/>
          <c:showBubbleSize val="0"/>
        </c:dLbls>
        <c:gapWidth val="0"/>
        <c:overlap val="100"/>
        <c:axId val="165963440"/>
        <c:axId val="1"/>
      </c:barChart>
      <c:catAx>
        <c:axId val="165963440"/>
        <c:scaling>
          <c:orientation val="minMax"/>
        </c:scaling>
        <c:delete val="0"/>
        <c:axPos val="l"/>
        <c:numFmt formatCode="General" sourceLinked="1"/>
        <c:majorTickMark val="out"/>
        <c:minorTickMark val="none"/>
        <c:tickLblPos val="nextTo"/>
        <c:spPr>
          <a:ln w="3162">
            <a:solidFill>
              <a:srgbClr val="000000"/>
            </a:solidFill>
            <a:prstDash val="solid"/>
          </a:ln>
        </c:spPr>
        <c:txPr>
          <a:bodyPr rot="0" vert="horz"/>
          <a:lstStyle/>
          <a:p>
            <a:pPr>
              <a:defRPr sz="598" b="0" i="0" u="none" strike="noStrike" baseline="0">
                <a:solidFill>
                  <a:srgbClr val="000000"/>
                </a:solidFill>
                <a:latin typeface="Arial"/>
                <a:ea typeface="Arial"/>
                <a:cs typeface="Arial"/>
              </a:defRPr>
            </a:pPr>
            <a:endParaRPr lang="en-US"/>
          </a:p>
        </c:txPr>
        <c:crossAx val="1"/>
        <c:crosses val="autoZero"/>
        <c:auto val="0"/>
        <c:lblAlgn val="ctr"/>
        <c:lblOffset val="100"/>
        <c:tickLblSkip val="1"/>
        <c:tickMarkSkip val="1"/>
        <c:noMultiLvlLbl val="0"/>
      </c:catAx>
      <c:valAx>
        <c:axId val="1"/>
        <c:scaling>
          <c:orientation val="minMax"/>
          <c:max val="15000"/>
          <c:min val="0"/>
        </c:scaling>
        <c:delete val="0"/>
        <c:axPos val="b"/>
        <c:majorGridlines>
          <c:spPr>
            <a:ln w="3162">
              <a:solidFill>
                <a:srgbClr val="000000"/>
              </a:solidFill>
              <a:prstDash val="solid"/>
            </a:ln>
          </c:spPr>
        </c:majorGridlines>
        <c:title>
          <c:tx>
            <c:rich>
              <a:bodyPr/>
              <a:lstStyle/>
              <a:p>
                <a:pPr>
                  <a:defRPr sz="598" b="0" i="0" u="none" strike="noStrike" baseline="0">
                    <a:solidFill>
                      <a:srgbClr val="000000"/>
                    </a:solidFill>
                    <a:latin typeface="Arial"/>
                    <a:ea typeface="Arial"/>
                    <a:cs typeface="Arial"/>
                  </a:defRPr>
                </a:pPr>
                <a:r>
                  <a:rPr lang="en-US"/>
                  <a:t>persoane</a:t>
                </a:r>
              </a:p>
            </c:rich>
          </c:tx>
          <c:layout>
            <c:manualLayout>
              <c:xMode val="edge"/>
              <c:yMode val="edge"/>
              <c:x val="0.44771241830065361"/>
              <c:y val="0.91443850267379678"/>
            </c:manualLayout>
          </c:layout>
          <c:overlay val="0"/>
          <c:spPr>
            <a:noFill/>
            <a:ln w="25299">
              <a:noFill/>
            </a:ln>
          </c:spPr>
        </c:title>
        <c:numFmt formatCode="General" sourceLinked="1"/>
        <c:majorTickMark val="out"/>
        <c:minorTickMark val="none"/>
        <c:tickLblPos val="nextTo"/>
        <c:spPr>
          <a:ln w="3162">
            <a:solidFill>
              <a:srgbClr val="000000"/>
            </a:solidFill>
            <a:prstDash val="solid"/>
          </a:ln>
        </c:spPr>
        <c:txPr>
          <a:bodyPr rot="0" vert="horz"/>
          <a:lstStyle/>
          <a:p>
            <a:pPr>
              <a:defRPr sz="697" b="0" i="0" u="none" strike="noStrike" baseline="0">
                <a:solidFill>
                  <a:srgbClr val="000000"/>
                </a:solidFill>
                <a:latin typeface="Times New Roman"/>
                <a:ea typeface="Times New Roman"/>
                <a:cs typeface="Times New Roman"/>
              </a:defRPr>
            </a:pPr>
            <a:endParaRPr lang="en-US"/>
          </a:p>
        </c:txPr>
        <c:crossAx val="165963440"/>
        <c:crosses val="autoZero"/>
        <c:crossBetween val="between"/>
        <c:majorUnit val="10000"/>
        <c:minorUnit val="200"/>
      </c:valAx>
      <c:spPr>
        <a:noFill/>
        <a:ln w="25299">
          <a:noFill/>
        </a:ln>
      </c:spPr>
    </c:plotArea>
    <c:plotVisOnly val="1"/>
    <c:dispBlanksAs val="gap"/>
    <c:showDLblsOverMax val="0"/>
  </c:chart>
  <c:spPr>
    <a:noFill/>
    <a:ln>
      <a:noFill/>
    </a:ln>
  </c:spPr>
  <c:txPr>
    <a:bodyPr/>
    <a:lstStyle/>
    <a:p>
      <a:pPr>
        <a:defRPr sz="797" b="1"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cap="all">
                <a:effectLst/>
                <a:latin typeface="+mj-lt"/>
              </a:rPr>
              <a:t>Evoluţia numărului de născuţi-vii, decedaţi şi </a:t>
            </a:r>
            <a:endParaRPr lang="ro-RO" sz="1200" b="1" cap="all">
              <a:effectLst/>
              <a:latin typeface="+mj-lt"/>
            </a:endParaRPr>
          </a:p>
          <a:p>
            <a:pPr>
              <a:defRPr/>
            </a:pPr>
            <a:r>
              <a:rPr lang="en-US" sz="1200" b="1" cap="all">
                <a:effectLst/>
                <a:latin typeface="+mj-lt"/>
              </a:rPr>
              <a:t> A sporuLUI natural</a:t>
            </a:r>
            <a:endParaRPr lang="en-US" sz="1200">
              <a:effectLst/>
              <a:latin typeface="+mj-lt"/>
            </a:endParaRPr>
          </a:p>
        </c:rich>
      </c:tx>
      <c:overlay val="0"/>
    </c:title>
    <c:autoTitleDeleted val="0"/>
    <c:plotArea>
      <c:layout>
        <c:manualLayout>
          <c:layoutTarget val="inner"/>
          <c:xMode val="edge"/>
          <c:yMode val="edge"/>
          <c:x val="3.6760873640794903E-2"/>
          <c:y val="0.21752413344398883"/>
          <c:w val="0.91515151515151516"/>
          <c:h val="0.55427714392843752"/>
        </c:manualLayout>
      </c:layout>
      <c:barChart>
        <c:barDir val="col"/>
        <c:grouping val="clustered"/>
        <c:varyColors val="0"/>
        <c:ser>
          <c:idx val="0"/>
          <c:order val="0"/>
          <c:tx>
            <c:strRef>
              <c:f>Sheet1!$A$2</c:f>
              <c:strCache>
                <c:ptCount val="1"/>
                <c:pt idx="0">
                  <c:v>născuţi vii</c:v>
                </c:pt>
              </c:strCache>
            </c:strRef>
          </c:tx>
          <c:spPr>
            <a:solidFill>
              <a:srgbClr val="99CCFF"/>
            </a:solidFill>
            <a:ln w="3184">
              <a:solidFill>
                <a:srgbClr val="000080"/>
              </a:solidFill>
              <a:prstDash val="solid"/>
            </a:ln>
          </c:spPr>
          <c:invertIfNegative val="0"/>
          <c:cat>
            <c:numRef>
              <c:f>Sheet1!$B$1:$N$1</c:f>
              <c:numCache>
                <c:formatCode>m/d/yyyy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Sheet1!$B$2:$N$2</c:f>
              <c:numCache>
                <c:formatCode>General</c:formatCode>
                <c:ptCount val="13"/>
                <c:pt idx="0">
                  <c:v>436</c:v>
                </c:pt>
                <c:pt idx="1">
                  <c:v>484</c:v>
                </c:pt>
                <c:pt idx="2">
                  <c:v>490</c:v>
                </c:pt>
                <c:pt idx="3">
                  <c:v>483</c:v>
                </c:pt>
                <c:pt idx="4">
                  <c:v>409</c:v>
                </c:pt>
                <c:pt idx="5">
                  <c:v>400</c:v>
                </c:pt>
                <c:pt idx="6">
                  <c:v>340</c:v>
                </c:pt>
                <c:pt idx="7">
                  <c:v>434</c:v>
                </c:pt>
                <c:pt idx="8">
                  <c:v>377</c:v>
                </c:pt>
                <c:pt idx="9">
                  <c:v>382</c:v>
                </c:pt>
                <c:pt idx="10">
                  <c:v>342</c:v>
                </c:pt>
                <c:pt idx="11">
                  <c:v>363</c:v>
                </c:pt>
                <c:pt idx="12">
                  <c:v>383</c:v>
                </c:pt>
              </c:numCache>
            </c:numRef>
          </c:val>
          <c:extLst>
            <c:ext xmlns:c16="http://schemas.microsoft.com/office/drawing/2014/chart" uri="{C3380CC4-5D6E-409C-BE32-E72D297353CC}">
              <c16:uniqueId val="{00000000-E40C-4501-8735-B7256BBC1154}"/>
            </c:ext>
          </c:extLst>
        </c:ser>
        <c:ser>
          <c:idx val="1"/>
          <c:order val="1"/>
          <c:tx>
            <c:strRef>
              <c:f>Sheet1!$A$3</c:f>
              <c:strCache>
                <c:ptCount val="1"/>
                <c:pt idx="0">
                  <c:v>decedaţi</c:v>
                </c:pt>
              </c:strCache>
            </c:strRef>
          </c:tx>
          <c:spPr>
            <a:gradFill rotWithShape="0">
              <a:gsLst>
                <a:gs pos="0">
                  <a:srgbClr xmlns:mc="http://schemas.openxmlformats.org/markup-compatibility/2006" xmlns:a14="http://schemas.microsoft.com/office/drawing/2010/main" val="0066CC" mc:Ignorable="a14" a14:legacySpreadsheetColorIndex="30"/>
                </a:gs>
                <a:gs pos="100000">
                  <a:srgbClr xmlns:mc="http://schemas.openxmlformats.org/markup-compatibility/2006" xmlns:a14="http://schemas.microsoft.com/office/drawing/2010/main" val="000000" mc:Ignorable="a14" a14:legacySpreadsheetColorIndex="30">
                    <a:gamma/>
                    <a:shade val="46275"/>
                    <a:invGamma/>
                  </a:srgbClr>
                </a:gs>
              </a:gsLst>
              <a:lin ang="5400000" scaled="1"/>
            </a:gradFill>
            <a:ln w="3184">
              <a:solidFill>
                <a:srgbClr val="000000"/>
              </a:solidFill>
              <a:prstDash val="solid"/>
            </a:ln>
          </c:spPr>
          <c:invertIfNegative val="0"/>
          <c:cat>
            <c:numRef>
              <c:f>Sheet1!$B$1:$N$1</c:f>
              <c:numCache>
                <c:formatCode>m/d/yyyy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Sheet1!$B$3:$N$3</c:f>
              <c:numCache>
                <c:formatCode>General</c:formatCode>
                <c:ptCount val="13"/>
                <c:pt idx="0">
                  <c:v>741</c:v>
                </c:pt>
                <c:pt idx="1">
                  <c:v>847</c:v>
                </c:pt>
                <c:pt idx="2">
                  <c:v>904</c:v>
                </c:pt>
                <c:pt idx="3">
                  <c:v>780</c:v>
                </c:pt>
                <c:pt idx="4">
                  <c:v>884</c:v>
                </c:pt>
                <c:pt idx="5">
                  <c:v>807</c:v>
                </c:pt>
                <c:pt idx="6">
                  <c:v>972</c:v>
                </c:pt>
                <c:pt idx="7">
                  <c:v>1007</c:v>
                </c:pt>
                <c:pt idx="8">
                  <c:v>819</c:v>
                </c:pt>
                <c:pt idx="9">
                  <c:v>886</c:v>
                </c:pt>
                <c:pt idx="10">
                  <c:v>742</c:v>
                </c:pt>
                <c:pt idx="11">
                  <c:v>899</c:v>
                </c:pt>
                <c:pt idx="12">
                  <c:v>765</c:v>
                </c:pt>
              </c:numCache>
            </c:numRef>
          </c:val>
          <c:extLst>
            <c:ext xmlns:c16="http://schemas.microsoft.com/office/drawing/2014/chart" uri="{C3380CC4-5D6E-409C-BE32-E72D297353CC}">
              <c16:uniqueId val="{00000001-E40C-4501-8735-B7256BBC1154}"/>
            </c:ext>
          </c:extLst>
        </c:ser>
        <c:ser>
          <c:idx val="2"/>
          <c:order val="2"/>
          <c:tx>
            <c:strRef>
              <c:f>Sheet1!$A$4</c:f>
              <c:strCache>
                <c:ptCount val="1"/>
                <c:pt idx="0">
                  <c:v>spor natural</c:v>
                </c:pt>
              </c:strCache>
            </c:strRef>
          </c:tx>
          <c:spPr>
            <a:solidFill>
              <a:srgbClr val="FFFFCC"/>
            </a:solidFill>
            <a:ln w="3184">
              <a:solidFill>
                <a:srgbClr val="000000"/>
              </a:solidFill>
              <a:prstDash val="solid"/>
            </a:ln>
          </c:spPr>
          <c:invertIfNegative val="0"/>
          <c:cat>
            <c:numRef>
              <c:f>Sheet1!$B$1:$N$1</c:f>
              <c:numCache>
                <c:formatCode>m/d/yyyy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Sheet1!$B$4:$N$4</c:f>
              <c:numCache>
                <c:formatCode>General</c:formatCode>
                <c:ptCount val="13"/>
                <c:pt idx="0">
                  <c:v>-305</c:v>
                </c:pt>
                <c:pt idx="1">
                  <c:v>-363</c:v>
                </c:pt>
                <c:pt idx="2">
                  <c:v>-414</c:v>
                </c:pt>
                <c:pt idx="3">
                  <c:v>-297</c:v>
                </c:pt>
                <c:pt idx="4">
                  <c:v>-475</c:v>
                </c:pt>
                <c:pt idx="5">
                  <c:v>-407</c:v>
                </c:pt>
                <c:pt idx="6">
                  <c:v>-632</c:v>
                </c:pt>
                <c:pt idx="7">
                  <c:v>-573</c:v>
                </c:pt>
                <c:pt idx="8">
                  <c:v>-442</c:v>
                </c:pt>
                <c:pt idx="9">
                  <c:v>-504</c:v>
                </c:pt>
                <c:pt idx="10">
                  <c:v>-400</c:v>
                </c:pt>
                <c:pt idx="11">
                  <c:v>-536</c:v>
                </c:pt>
                <c:pt idx="12">
                  <c:v>-382</c:v>
                </c:pt>
              </c:numCache>
            </c:numRef>
          </c:val>
          <c:extLst>
            <c:ext xmlns:c16="http://schemas.microsoft.com/office/drawing/2014/chart" uri="{C3380CC4-5D6E-409C-BE32-E72D297353CC}">
              <c16:uniqueId val="{00000002-E40C-4501-8735-B7256BBC1154}"/>
            </c:ext>
          </c:extLst>
        </c:ser>
        <c:dLbls>
          <c:showLegendKey val="0"/>
          <c:showVal val="0"/>
          <c:showCatName val="0"/>
          <c:showSerName val="0"/>
          <c:showPercent val="0"/>
          <c:showBubbleSize val="0"/>
        </c:dLbls>
        <c:gapWidth val="150"/>
        <c:axId val="1391263231"/>
        <c:axId val="1"/>
      </c:barChart>
      <c:dateAx>
        <c:axId val="1391263231"/>
        <c:scaling>
          <c:orientation val="minMax"/>
        </c:scaling>
        <c:delete val="0"/>
        <c:axPos val="b"/>
        <c:numFmt formatCode="[$-409]mmm\-yy;@" sourceLinked="0"/>
        <c:majorTickMark val="out"/>
        <c:minorTickMark val="none"/>
        <c:tickLblPos val="low"/>
        <c:spPr>
          <a:ln w="3184">
            <a:solidFill>
              <a:srgbClr val="000000"/>
            </a:solidFill>
            <a:prstDash val="solid"/>
          </a:ln>
        </c:spPr>
        <c:txPr>
          <a:bodyPr rot="0" vert="horz"/>
          <a:lstStyle/>
          <a:p>
            <a:pPr>
              <a:defRPr sz="552" b="0" i="0" u="none" strike="noStrike" baseline="0">
                <a:solidFill>
                  <a:srgbClr val="000000"/>
                </a:solidFill>
                <a:latin typeface="Calibri"/>
                <a:ea typeface="Calibri"/>
                <a:cs typeface="Calibri"/>
              </a:defRPr>
            </a:pPr>
            <a:endParaRPr lang="en-US"/>
          </a:p>
        </c:txPr>
        <c:crossAx val="1"/>
        <c:crosses val="autoZero"/>
        <c:auto val="1"/>
        <c:lblOffset val="100"/>
        <c:baseTimeUnit val="months"/>
        <c:majorUnit val="1"/>
        <c:majorTimeUnit val="months"/>
        <c:minorUnit val="1"/>
        <c:minorTimeUnit val="months"/>
      </c:dateAx>
      <c:valAx>
        <c:axId val="1"/>
        <c:scaling>
          <c:orientation val="minMax"/>
        </c:scaling>
        <c:delete val="0"/>
        <c:axPos val="l"/>
        <c:majorGridlines>
          <c:spPr>
            <a:ln w="3184">
              <a:solidFill>
                <a:srgbClr val="000000"/>
              </a:solidFill>
              <a:prstDash val="solid"/>
            </a:ln>
          </c:spPr>
        </c:majorGridlines>
        <c:numFmt formatCode="General" sourceLinked="1"/>
        <c:majorTickMark val="out"/>
        <c:minorTickMark val="none"/>
        <c:tickLblPos val="nextTo"/>
        <c:spPr>
          <a:ln w="3184">
            <a:solidFill>
              <a:srgbClr val="000000"/>
            </a:solidFill>
            <a:prstDash val="solid"/>
          </a:ln>
        </c:spPr>
        <c:txPr>
          <a:bodyPr rot="0" vert="horz"/>
          <a:lstStyle/>
          <a:p>
            <a:pPr>
              <a:defRPr sz="552" b="0" i="0" u="none" strike="noStrike" baseline="0">
                <a:solidFill>
                  <a:srgbClr val="000000"/>
                </a:solidFill>
                <a:latin typeface="Arial"/>
                <a:ea typeface="Arial"/>
                <a:cs typeface="Arial"/>
              </a:defRPr>
            </a:pPr>
            <a:endParaRPr lang="en-US"/>
          </a:p>
        </c:txPr>
        <c:crossAx val="1391263231"/>
        <c:crosses val="autoZero"/>
        <c:crossBetween val="between"/>
      </c:valAx>
      <c:spPr>
        <a:solidFill>
          <a:srgbClr val="FFFFFF"/>
        </a:solidFill>
        <a:ln w="12738">
          <a:solidFill>
            <a:srgbClr val="808080"/>
          </a:solidFill>
          <a:prstDash val="solid"/>
        </a:ln>
      </c:spPr>
    </c:plotArea>
    <c:legend>
      <c:legendPos val="b"/>
      <c:layout>
        <c:manualLayout>
          <c:xMode val="edge"/>
          <c:yMode val="edge"/>
          <c:x val="0.29696969696969699"/>
          <c:y val="0.84751773049645385"/>
          <c:w val="0.37424242424242427"/>
          <c:h val="7.8014184397163122E-2"/>
        </c:manualLayout>
      </c:layout>
      <c:overlay val="0"/>
      <c:spPr>
        <a:solidFill>
          <a:srgbClr val="FFFFFF"/>
        </a:solidFill>
        <a:ln w="3184">
          <a:noFill/>
          <a:prstDash val="solid"/>
        </a:ln>
      </c:spPr>
      <c:txPr>
        <a:bodyPr/>
        <a:lstStyle/>
        <a:p>
          <a:pPr>
            <a:defRPr sz="1000"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379"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o-RO" sz="900"/>
              <a:t>Semestrul I </a:t>
            </a:r>
            <a:r>
              <a:rPr lang="en-US" sz="900"/>
              <a:t>202</a:t>
            </a:r>
            <a:r>
              <a:rPr lang="ro-RO" sz="900"/>
              <a:t>2</a:t>
            </a:r>
            <a:endParaRPr lang="en-US" sz="900"/>
          </a:p>
        </c:rich>
      </c:tx>
      <c:layout>
        <c:manualLayout>
          <c:xMode val="edge"/>
          <c:yMode val="edge"/>
          <c:x val="0.29087400329758872"/>
          <c:y val="2.2792022792022793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15938878997703"/>
          <c:y val="0.13747029484562295"/>
          <c:w val="0.79819895451853251"/>
          <c:h val="0.74399593213241511"/>
        </c:manualLayout>
      </c:layout>
      <c:pie3DChart>
        <c:varyColors val="1"/>
        <c:ser>
          <c:idx val="0"/>
          <c:order val="0"/>
          <c:tx>
            <c:strRef>
              <c:f>Sheet1!$B$1</c:f>
              <c:strCache>
                <c:ptCount val="1"/>
                <c:pt idx="0">
                  <c:v>2022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C50-4ED9-B727-6714C10D9D5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C50-4ED9-B727-6714C10D9D5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C50-4ED9-B727-6714C10D9D5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C50-4ED9-B727-6714C10D9D5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C50-4ED9-B727-6714C10D9D5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C50-4ED9-B727-6714C10D9D5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C50-4ED9-B727-6714C10D9D54}"/>
              </c:ext>
            </c:extLst>
          </c:dPt>
          <c:dLbls>
            <c:dLbl>
              <c:idx val="0"/>
              <c:layout>
                <c:manualLayout>
                  <c:x val="0"/>
                  <c:y val="-0.1063627730294396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50-4ED9-B727-6714C10D9D54}"/>
                </c:ext>
              </c:extLst>
            </c:dLbl>
            <c:dLbl>
              <c:idx val="1"/>
              <c:layout>
                <c:manualLayout>
                  <c:x val="0"/>
                  <c:y val="-0.1443494776828110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50-4ED9-B727-6714C10D9D54}"/>
                </c:ext>
              </c:extLst>
            </c:dLbl>
            <c:dLbl>
              <c:idx val="2"/>
              <c:layout>
                <c:manualLayout>
                  <c:x val="0"/>
                  <c:y val="-3.41880341880341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50-4ED9-B727-6714C10D9D54}"/>
                </c:ext>
              </c:extLst>
            </c:dLbl>
            <c:dLbl>
              <c:idx val="3"/>
              <c:layout>
                <c:manualLayout>
                  <c:x val="8.1319177772758072E-2"/>
                  <c:y val="2.279202279202279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50-4ED9-B727-6714C10D9D54}"/>
                </c:ext>
              </c:extLst>
            </c:dLbl>
            <c:dLbl>
              <c:idx val="4"/>
              <c:layout>
                <c:manualLayout>
                  <c:x val="7.680144567427151E-2"/>
                  <c:y val="8.736942070275403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50-4ED9-B727-6714C10D9D54}"/>
                </c:ext>
              </c:extLst>
            </c:dLbl>
            <c:dLbl>
              <c:idx val="5"/>
              <c:layout>
                <c:manualLayout>
                  <c:x val="-5.873051728032528E-2"/>
                  <c:y val="1.519468186134852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C50-4ED9-B727-6714C10D9D54}"/>
                </c:ext>
              </c:extLst>
            </c:dLbl>
            <c:dLbl>
              <c:idx val="6"/>
              <c:layout>
                <c:manualLayout>
                  <c:x val="-0.14004969505308337"/>
                  <c:y val="8.357075023741690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C50-4ED9-B727-6714C10D9D5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Boli ale aparatului circulator</c:v>
                </c:pt>
                <c:pt idx="1">
                  <c:v>Tumori</c:v>
                </c:pt>
                <c:pt idx="2">
                  <c:v>Boli ale aparatului digestiv</c:v>
                </c:pt>
                <c:pt idx="3">
                  <c:v>Boli ale aparatului respirator (inclusiv COVID)</c:v>
                </c:pt>
                <c:pt idx="4">
                  <c:v>Boli ale sistemului nervos</c:v>
                </c:pt>
                <c:pt idx="5">
                  <c:v>Leziuni traumatice, otrăviri și alte consecințe ale cauzeloe externe</c:v>
                </c:pt>
                <c:pt idx="6">
                  <c:v>Alte cauze</c:v>
                </c:pt>
              </c:strCache>
            </c:strRef>
          </c:cat>
          <c:val>
            <c:numRef>
              <c:f>Sheet1!$B$2:$B$8</c:f>
              <c:numCache>
                <c:formatCode>General</c:formatCode>
                <c:ptCount val="7"/>
                <c:pt idx="0">
                  <c:v>0.54400000000000004</c:v>
                </c:pt>
                <c:pt idx="1">
                  <c:v>0.13200000000000001</c:v>
                </c:pt>
                <c:pt idx="2">
                  <c:v>6.7000000000000004E-2</c:v>
                </c:pt>
                <c:pt idx="3">
                  <c:v>0.14699999999999999</c:v>
                </c:pt>
                <c:pt idx="4">
                  <c:v>3.2000000000000001E-2</c:v>
                </c:pt>
                <c:pt idx="5">
                  <c:v>2.7E-2</c:v>
                </c:pt>
                <c:pt idx="6">
                  <c:v>5.0999999999999997E-2</c:v>
                </c:pt>
              </c:numCache>
            </c:numRef>
          </c:val>
          <c:extLst>
            <c:ext xmlns:c16="http://schemas.microsoft.com/office/drawing/2014/chart" uri="{C3380CC4-5D6E-409C-BE32-E72D297353CC}">
              <c16:uniqueId val="{0000000E-FC50-4ED9-B727-6714C10D9D54}"/>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ln>
                  <a:noFill/>
                </a:ln>
                <a:solidFill>
                  <a:schemeClr val="tx1">
                    <a:lumMod val="65000"/>
                    <a:lumOff val="35000"/>
                  </a:schemeClr>
                </a:solidFill>
                <a:latin typeface="+mn-lt"/>
                <a:ea typeface="+mn-ea"/>
                <a:cs typeface="+mn-cs"/>
              </a:defRPr>
            </a:pPr>
            <a:r>
              <a:rPr lang="ro-RO" sz="900"/>
              <a:t>Semestrul I </a:t>
            </a:r>
            <a:r>
              <a:rPr lang="en-US" sz="900"/>
              <a:t>202</a:t>
            </a:r>
            <a:r>
              <a:rPr lang="ro-RO" sz="900"/>
              <a:t>3</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ln>
                <a:noFill/>
              </a:ln>
              <a:solidFill>
                <a:schemeClr val="tx1">
                  <a:lumMod val="65000"/>
                  <a:lumOff val="35000"/>
                </a:schemeClr>
              </a:solidFill>
              <a:latin typeface="+mn-lt"/>
              <a:ea typeface="+mn-ea"/>
              <a:cs typeface="+mn-cs"/>
            </a:defRPr>
          </a:pPr>
          <a:endParaRPr lang="en-US"/>
        </a:p>
      </c:txPr>
    </c:title>
    <c:autoTitleDeleted val="0"/>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2023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CFD-485D-B938-910E9877AC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CFD-485D-B938-910E9877AC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CFD-485D-B938-910E9877AC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CFD-485D-B938-910E9877AC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CFD-485D-B938-910E9877AC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CFD-485D-B938-910E9877AC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CFD-485D-B938-910E9877AC05}"/>
              </c:ext>
            </c:extLst>
          </c:dPt>
          <c:dLbls>
            <c:dLbl>
              <c:idx val="0"/>
              <c:layout>
                <c:manualLayout>
                  <c:x val="-1.5185853425180195E-16"/>
                  <c:y val="8.7369420702754039E-2"/>
                </c:manualLayout>
              </c:layout>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FD-485D-B938-910E9877AC05}"/>
                </c:ext>
              </c:extLst>
            </c:dLbl>
            <c:dLbl>
              <c:idx val="1"/>
              <c:layout>
                <c:manualLayout>
                  <c:x val="0"/>
                  <c:y val="5.3181386514719778E-2"/>
                </c:manualLayout>
              </c:layout>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FD-485D-B938-910E9877AC05}"/>
                </c:ext>
              </c:extLst>
            </c:dLbl>
            <c:dLbl>
              <c:idx val="2"/>
              <c:layout>
                <c:manualLayout>
                  <c:x val="-4.1416442327604067E-2"/>
                  <c:y val="-6.077872744539415E-2"/>
                </c:manualLayout>
              </c:layout>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FD-485D-B938-910E9877AC05}"/>
                </c:ext>
              </c:extLst>
            </c:dLbl>
            <c:dLbl>
              <c:idx val="3"/>
              <c:layout>
                <c:manualLayout>
                  <c:x val="8.2832884655208109E-3"/>
                  <c:y val="-6.8376068376068383E-2"/>
                </c:manualLayout>
              </c:layout>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CFD-485D-B938-910E9877AC05}"/>
                </c:ext>
              </c:extLst>
            </c:dLbl>
            <c:dLbl>
              <c:idx val="4"/>
              <c:layout>
                <c:manualLayout>
                  <c:x val="-4.1416442327604054E-3"/>
                  <c:y val="-7.5973409306742637E-2"/>
                </c:manualLayout>
              </c:layout>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CFD-485D-B938-910E9877AC05}"/>
                </c:ext>
              </c:extLst>
            </c:dLbl>
            <c:dLbl>
              <c:idx val="5"/>
              <c:layout>
                <c:manualLayout>
                  <c:x val="8.6974528887968527E-2"/>
                  <c:y val="-6.0778727445394115E-2"/>
                </c:manualLayout>
              </c:layout>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CFD-485D-B938-910E9877AC05}"/>
                </c:ext>
              </c:extLst>
            </c:dLbl>
            <c:dLbl>
              <c:idx val="6"/>
              <c:layout>
                <c:manualLayout>
                  <c:x val="0.14909919237937461"/>
                  <c:y val="3.0389363722697058E-2"/>
                </c:manualLayout>
              </c:layout>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CFD-485D-B938-910E9877AC05}"/>
                </c:ext>
              </c:extLst>
            </c:dLbl>
            <c:numFmt formatCode="0.0%" sourceLinked="0"/>
            <c:spPr>
              <a:noFill/>
              <a:ln>
                <a:noFill/>
              </a:ln>
              <a:effectLst/>
            </c:spPr>
            <c:txPr>
              <a:bodyPr rot="0" spcFirstLastPara="1" vertOverflow="ellipsis" vert="horz" wrap="square" anchor="ctr" anchorCtr="1"/>
              <a:lstStyle/>
              <a:p>
                <a:pPr>
                  <a:defRPr sz="600" b="0" i="0" u="none" strike="noStrike" kern="1200" spc="0" baseline="0">
                    <a:ln>
                      <a:noFill/>
                    </a:ln>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Boli ale aparatului circulator</c:v>
                </c:pt>
                <c:pt idx="1">
                  <c:v>Tumori</c:v>
                </c:pt>
                <c:pt idx="2">
                  <c:v>Boli ale aparatului digestiv</c:v>
                </c:pt>
                <c:pt idx="3">
                  <c:v>Boli ale aparatului respirator (inclusiv COVID)</c:v>
                </c:pt>
                <c:pt idx="4">
                  <c:v>Boli ale sistemului nervos</c:v>
                </c:pt>
                <c:pt idx="5">
                  <c:v>Leziuni traumatice, otrăviri și alte consecințe ale cauzeloe externe</c:v>
                </c:pt>
                <c:pt idx="6">
                  <c:v>Alte cauze</c:v>
                </c:pt>
              </c:strCache>
            </c:strRef>
          </c:cat>
          <c:val>
            <c:numRef>
              <c:f>Sheet1!$B$2:$B$8</c:f>
              <c:numCache>
                <c:formatCode>General</c:formatCode>
                <c:ptCount val="7"/>
                <c:pt idx="0">
                  <c:v>54.4</c:v>
                </c:pt>
                <c:pt idx="1">
                  <c:v>16.3</c:v>
                </c:pt>
                <c:pt idx="2">
                  <c:v>6.2</c:v>
                </c:pt>
                <c:pt idx="3">
                  <c:v>11.1</c:v>
                </c:pt>
                <c:pt idx="4">
                  <c:v>2.9</c:v>
                </c:pt>
                <c:pt idx="5">
                  <c:v>3.3</c:v>
                </c:pt>
                <c:pt idx="6">
                  <c:v>5.8</c:v>
                </c:pt>
              </c:numCache>
            </c:numRef>
          </c:val>
          <c:extLst>
            <c:ext xmlns:c16="http://schemas.microsoft.com/office/drawing/2014/chart" uri="{C3380CC4-5D6E-409C-BE32-E72D297353CC}">
              <c16:uniqueId val="{0000000E-1CFD-485D-B938-910E9877AC0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74251497005984E-2"/>
          <c:y val="8.1395348837209308E-2"/>
          <c:w val="0.92365269461077848"/>
          <c:h val="0.79844961240310075"/>
        </c:manualLayout>
      </c:layout>
      <c:lineChart>
        <c:grouping val="standard"/>
        <c:varyColors val="0"/>
        <c:ser>
          <c:idx val="0"/>
          <c:order val="0"/>
          <c:tx>
            <c:strRef>
              <c:f>Sheet1!$A$2</c:f>
              <c:strCache>
                <c:ptCount val="1"/>
                <c:pt idx="0">
                  <c:v>RATA DE MORTALITATE INFANTILA</c:v>
                </c:pt>
              </c:strCache>
            </c:strRef>
          </c:tx>
          <c:spPr>
            <a:ln w="37998">
              <a:solidFill>
                <a:srgbClr val="000080"/>
              </a:solidFill>
              <a:prstDash val="solid"/>
            </a:ln>
          </c:spPr>
          <c:marker>
            <c:symbol val="diamond"/>
            <c:size val="8"/>
            <c:spPr>
              <a:solidFill>
                <a:srgbClr val="000080"/>
              </a:solidFill>
              <a:ln>
                <a:solidFill>
                  <a:srgbClr val="000080"/>
                </a:solidFill>
                <a:prstDash val="solid"/>
              </a:ln>
            </c:spPr>
          </c:marker>
          <c:dLbls>
            <c:delete val="1"/>
          </c:dLbls>
          <c:cat>
            <c:strRef>
              <c:f>Sheet1!$B$1:$N$1</c:f>
              <c:strCache>
                <c:ptCount val="13"/>
                <c:pt idx="0">
                  <c:v>Iun. 2022</c:v>
                </c:pt>
                <c:pt idx="1">
                  <c:v>Iul. 2022</c:v>
                </c:pt>
                <c:pt idx="2">
                  <c:v>Aug. 2022</c:v>
                </c:pt>
                <c:pt idx="3">
                  <c:v>Sep. 2022</c:v>
                </c:pt>
                <c:pt idx="4">
                  <c:v>Oct. 2022</c:v>
                </c:pt>
                <c:pt idx="5">
                  <c:v>Nov. 2022</c:v>
                </c:pt>
                <c:pt idx="6">
                  <c:v>Dec. 2022</c:v>
                </c:pt>
                <c:pt idx="7">
                  <c:v>Ian. 2023</c:v>
                </c:pt>
                <c:pt idx="8">
                  <c:v>Feb. 2023</c:v>
                </c:pt>
                <c:pt idx="9">
                  <c:v>Mar. 2023</c:v>
                </c:pt>
                <c:pt idx="10">
                  <c:v>Apr. 2023</c:v>
                </c:pt>
                <c:pt idx="11">
                  <c:v>Mai 2023</c:v>
                </c:pt>
                <c:pt idx="12">
                  <c:v>Iun. 2023</c:v>
                </c:pt>
              </c:strCache>
            </c:strRef>
          </c:cat>
          <c:val>
            <c:numRef>
              <c:f>Sheet1!$B$2:$N$2</c:f>
              <c:numCache>
                <c:formatCode>0.0</c:formatCode>
                <c:ptCount val="13"/>
                <c:pt idx="0">
                  <c:v>2.2935779816513762</c:v>
                </c:pt>
                <c:pt idx="1">
                  <c:v>6.1983471074380168</c:v>
                </c:pt>
                <c:pt idx="2">
                  <c:v>0</c:v>
                </c:pt>
                <c:pt idx="3">
                  <c:v>4.1407867494824018</c:v>
                </c:pt>
                <c:pt idx="4">
                  <c:v>7.3349633251833737</c:v>
                </c:pt>
                <c:pt idx="5">
                  <c:v>10</c:v>
                </c:pt>
                <c:pt idx="6">
                  <c:v>14.705882352941176</c:v>
                </c:pt>
                <c:pt idx="7">
                  <c:v>6.9124423963133648</c:v>
                </c:pt>
                <c:pt idx="8">
                  <c:v>0</c:v>
                </c:pt>
                <c:pt idx="9">
                  <c:v>2.6178010471204192</c:v>
                </c:pt>
                <c:pt idx="10">
                  <c:v>2.9239766081871341</c:v>
                </c:pt>
                <c:pt idx="11">
                  <c:v>13.774104683195592</c:v>
                </c:pt>
                <c:pt idx="12">
                  <c:v>7.832898172323759</c:v>
                </c:pt>
              </c:numCache>
            </c:numRef>
          </c:val>
          <c:smooth val="0"/>
          <c:extLst>
            <c:ext xmlns:c16="http://schemas.microsoft.com/office/drawing/2014/chart" uri="{C3380CC4-5D6E-409C-BE32-E72D297353CC}">
              <c16:uniqueId val="{00000000-0D4E-477D-A118-6897D84063B2}"/>
            </c:ext>
          </c:extLst>
        </c:ser>
        <c:ser>
          <c:idx val="1"/>
          <c:order val="1"/>
          <c:tx>
            <c:strRef>
              <c:f>Sheet1!$A$3</c:f>
              <c:strCache>
                <c:ptCount val="1"/>
              </c:strCache>
            </c:strRef>
          </c:tx>
          <c:spPr>
            <a:ln w="18999">
              <a:noFill/>
            </a:ln>
          </c:spPr>
          <c:marker>
            <c:symbol val="square"/>
            <c:size val="4"/>
            <c:spPr>
              <a:solidFill>
                <a:srgbClr val="FF00FF"/>
              </a:solidFill>
              <a:ln>
                <a:solidFill>
                  <a:srgbClr val="FF00FF"/>
                </a:solidFill>
                <a:prstDash val="solid"/>
              </a:ln>
            </c:spPr>
          </c:marker>
          <c:dLbls>
            <c:delete val="1"/>
          </c:dLbls>
          <c:cat>
            <c:strRef>
              <c:f>Sheet1!$B$1:$N$1</c:f>
              <c:strCache>
                <c:ptCount val="13"/>
                <c:pt idx="0">
                  <c:v>Iun. 2022</c:v>
                </c:pt>
                <c:pt idx="1">
                  <c:v>Iul. 2022</c:v>
                </c:pt>
                <c:pt idx="2">
                  <c:v>Aug. 2022</c:v>
                </c:pt>
                <c:pt idx="3">
                  <c:v>Sep. 2022</c:v>
                </c:pt>
                <c:pt idx="4">
                  <c:v>Oct. 2022</c:v>
                </c:pt>
                <c:pt idx="5">
                  <c:v>Nov. 2022</c:v>
                </c:pt>
                <c:pt idx="6">
                  <c:v>Dec. 2022</c:v>
                </c:pt>
                <c:pt idx="7">
                  <c:v>Ian. 2023</c:v>
                </c:pt>
                <c:pt idx="8">
                  <c:v>Feb. 2023</c:v>
                </c:pt>
                <c:pt idx="9">
                  <c:v>Mar. 2023</c:v>
                </c:pt>
                <c:pt idx="10">
                  <c:v>Apr. 2023</c:v>
                </c:pt>
                <c:pt idx="11">
                  <c:v>Mai 2023</c:v>
                </c:pt>
                <c:pt idx="12">
                  <c:v>Iun. 2023</c:v>
                </c:pt>
              </c:strCache>
            </c:strRef>
          </c:cat>
          <c:val>
            <c:numRef>
              <c:f>Sheet1!$B$3:$N$3</c:f>
              <c:numCache>
                <c:formatCode>General</c:formatCode>
                <c:ptCount val="13"/>
              </c:numCache>
            </c:numRef>
          </c:val>
          <c:smooth val="0"/>
          <c:extLst>
            <c:ext xmlns:c16="http://schemas.microsoft.com/office/drawing/2014/chart" uri="{C3380CC4-5D6E-409C-BE32-E72D297353CC}">
              <c16:uniqueId val="{00000001-0D4E-477D-A118-6897D84063B2}"/>
            </c:ext>
          </c:extLst>
        </c:ser>
        <c:dLbls>
          <c:showLegendKey val="0"/>
          <c:showVal val="1"/>
          <c:showCatName val="0"/>
          <c:showSerName val="0"/>
          <c:showPercent val="0"/>
          <c:showBubbleSize val="0"/>
        </c:dLbls>
        <c:marker val="1"/>
        <c:smooth val="0"/>
        <c:axId val="913682719"/>
        <c:axId val="1"/>
      </c:lineChart>
      <c:catAx>
        <c:axId val="913682719"/>
        <c:scaling>
          <c:orientation val="minMax"/>
        </c:scaling>
        <c:delete val="0"/>
        <c:axPos val="b"/>
        <c:majorGridlines>
          <c:spPr>
            <a:ln w="12666">
              <a:solidFill>
                <a:srgbClr val="969696"/>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698"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12666">
              <a:solidFill>
                <a:srgbClr val="C0C0C0"/>
              </a:solidFill>
              <a:prstDash val="solid"/>
            </a:ln>
          </c:spPr>
        </c:majorGridlines>
        <c:title>
          <c:tx>
            <c:rich>
              <a:bodyPr rot="120000" vert="horz"/>
              <a:lstStyle/>
              <a:p>
                <a:pPr algn="ctr">
                  <a:defRPr sz="798" b="1" i="0" u="none" strike="noStrike" baseline="0">
                    <a:solidFill>
                      <a:srgbClr val="000000"/>
                    </a:solidFill>
                    <a:latin typeface="Arial"/>
                    <a:ea typeface="Arial"/>
                    <a:cs typeface="Arial"/>
                  </a:defRPr>
                </a:pPr>
                <a:r>
                  <a:rPr lang="en-GB"/>
                  <a:t>%</a:t>
                </a:r>
              </a:p>
            </c:rich>
          </c:tx>
          <c:layout>
            <c:manualLayout>
              <c:xMode val="edge"/>
              <c:yMode val="edge"/>
              <c:x val="1.942731014832296E-3"/>
              <c:y val="0.5008282252228291"/>
            </c:manualLayout>
          </c:layout>
          <c:overlay val="0"/>
          <c:spPr>
            <a:noFill/>
            <a:ln w="25332">
              <a:noFill/>
            </a:ln>
          </c:spPr>
        </c:title>
        <c:numFmt formatCode="0.0" sourceLinked="1"/>
        <c:majorTickMark val="out"/>
        <c:minorTickMark val="none"/>
        <c:tickLblPos val="nextTo"/>
        <c:spPr>
          <a:ln w="12666">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913682719"/>
        <c:crosses val="autoZero"/>
        <c:crossBetween val="between"/>
      </c:valAx>
      <c:spPr>
        <a:noFill/>
        <a:ln w="25332">
          <a:noFill/>
        </a:ln>
      </c:spPr>
    </c:plotArea>
    <c:plotVisOnly val="1"/>
    <c:dispBlanksAs val="gap"/>
    <c:showDLblsOverMax val="0"/>
  </c:chart>
  <c:spPr>
    <a:noFill/>
    <a:ln>
      <a:noFill/>
    </a:ln>
  </c:spPr>
  <c:txPr>
    <a:bodyPr/>
    <a:lstStyle/>
    <a:p>
      <a:pPr>
        <a:defRPr sz="798"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latin typeface="+mj-lt"/>
              </a:rPr>
              <a:t>Evoluţia numărului de căsătorii și divorțuri</a:t>
            </a:r>
            <a:endParaRPr lang="en-US" sz="1200">
              <a:latin typeface="+mj-lt"/>
            </a:endParaRPr>
          </a:p>
        </c:rich>
      </c:tx>
      <c:layout>
        <c:manualLayout>
          <c:xMode val="edge"/>
          <c:yMode val="edge"/>
          <c:x val="0.29447691108923879"/>
          <c:y val="3.8544928932787277E-2"/>
        </c:manualLayout>
      </c:layout>
      <c:overlay val="0"/>
    </c:title>
    <c:autoTitleDeleted val="0"/>
    <c:plotArea>
      <c:layout>
        <c:manualLayout>
          <c:layoutTarget val="inner"/>
          <c:xMode val="edge"/>
          <c:yMode val="edge"/>
          <c:x val="0.14741641337386019"/>
          <c:y val="0.17543859649122806"/>
          <c:w val="0.81306990881458963"/>
          <c:h val="0.57894736842105265"/>
        </c:manualLayout>
      </c:layout>
      <c:lineChart>
        <c:grouping val="standard"/>
        <c:varyColors val="0"/>
        <c:ser>
          <c:idx val="0"/>
          <c:order val="0"/>
          <c:tx>
            <c:strRef>
              <c:f>Sheet1!$A$2</c:f>
              <c:strCache>
                <c:ptCount val="1"/>
                <c:pt idx="0">
                  <c:v>căsătorii</c:v>
                </c:pt>
              </c:strCache>
            </c:strRef>
          </c:tx>
          <c:spPr>
            <a:ln w="38042">
              <a:solidFill>
                <a:srgbClr val="0070C0"/>
              </a:solidFill>
              <a:prstDash val="solid"/>
            </a:ln>
          </c:spPr>
          <c:marker>
            <c:symbol val="diamond"/>
            <c:size val="7"/>
            <c:spPr>
              <a:solidFill>
                <a:srgbClr val="0070C0"/>
              </a:solidFill>
              <a:ln>
                <a:solidFill>
                  <a:srgbClr val="3366FF"/>
                </a:solidFill>
                <a:prstDash val="solid"/>
              </a:ln>
            </c:spPr>
          </c:marker>
          <c:cat>
            <c:strRef>
              <c:f>Sheet1!$B$1:$N$1</c:f>
              <c:strCache>
                <c:ptCount val="13"/>
                <c:pt idx="0">
                  <c:v>Iun. 2022</c:v>
                </c:pt>
                <c:pt idx="1">
                  <c:v>Iul. 2022</c:v>
                </c:pt>
                <c:pt idx="2">
                  <c:v>Aug. 2022</c:v>
                </c:pt>
                <c:pt idx="3">
                  <c:v>Sep. 2022</c:v>
                </c:pt>
                <c:pt idx="4">
                  <c:v>Oct. 2022</c:v>
                </c:pt>
                <c:pt idx="5">
                  <c:v>Nov. 2022</c:v>
                </c:pt>
                <c:pt idx="6">
                  <c:v>Dec. 2022</c:v>
                </c:pt>
                <c:pt idx="7">
                  <c:v>Ian. 2023</c:v>
                </c:pt>
                <c:pt idx="8">
                  <c:v>Feb. 2023</c:v>
                </c:pt>
                <c:pt idx="9">
                  <c:v>Mar. 2023</c:v>
                </c:pt>
                <c:pt idx="10">
                  <c:v>Apr. 2023</c:v>
                </c:pt>
                <c:pt idx="11">
                  <c:v>Mai 2023</c:v>
                </c:pt>
                <c:pt idx="12">
                  <c:v>Iun. 2023</c:v>
                </c:pt>
              </c:strCache>
            </c:strRef>
          </c:cat>
          <c:val>
            <c:numRef>
              <c:f>Sheet1!$B$2:$N$2</c:f>
              <c:numCache>
                <c:formatCode>General</c:formatCode>
                <c:ptCount val="13"/>
                <c:pt idx="0">
                  <c:v>409</c:v>
                </c:pt>
                <c:pt idx="1">
                  <c:v>628</c:v>
                </c:pt>
                <c:pt idx="2">
                  <c:v>611</c:v>
                </c:pt>
                <c:pt idx="3">
                  <c:v>499</c:v>
                </c:pt>
                <c:pt idx="4">
                  <c:v>384</c:v>
                </c:pt>
                <c:pt idx="5">
                  <c:v>204</c:v>
                </c:pt>
                <c:pt idx="6">
                  <c:v>128</c:v>
                </c:pt>
                <c:pt idx="7">
                  <c:v>139</c:v>
                </c:pt>
                <c:pt idx="8">
                  <c:v>135</c:v>
                </c:pt>
                <c:pt idx="9">
                  <c:v>156</c:v>
                </c:pt>
                <c:pt idx="10">
                  <c:v>273</c:v>
                </c:pt>
                <c:pt idx="11">
                  <c:v>327</c:v>
                </c:pt>
                <c:pt idx="12">
                  <c:v>378</c:v>
                </c:pt>
              </c:numCache>
            </c:numRef>
          </c:val>
          <c:smooth val="0"/>
          <c:extLst>
            <c:ext xmlns:c16="http://schemas.microsoft.com/office/drawing/2014/chart" uri="{C3380CC4-5D6E-409C-BE32-E72D297353CC}">
              <c16:uniqueId val="{00000000-C33D-426F-A3B5-E5097F300BBF}"/>
            </c:ext>
          </c:extLst>
        </c:ser>
        <c:ser>
          <c:idx val="2"/>
          <c:order val="1"/>
          <c:tx>
            <c:strRef>
              <c:f>Sheet1!$A$3</c:f>
              <c:strCache>
                <c:ptCount val="1"/>
                <c:pt idx="0">
                  <c:v>divorțuri</c:v>
                </c:pt>
              </c:strCache>
            </c:strRef>
          </c:tx>
          <c:spPr>
            <a:ln w="38042" cap="sq">
              <a:solidFill>
                <a:srgbClr val="990099"/>
              </a:solidFill>
              <a:prstDash val="sysDash"/>
              <a:bevel/>
            </a:ln>
          </c:spPr>
          <c:marker>
            <c:symbol val="diamond"/>
            <c:size val="8"/>
            <c:spPr>
              <a:solidFill>
                <a:srgbClr val="990099"/>
              </a:solidFill>
            </c:spPr>
          </c:marker>
          <c:cat>
            <c:strRef>
              <c:f>Sheet1!$B$1:$N$1</c:f>
              <c:strCache>
                <c:ptCount val="13"/>
                <c:pt idx="0">
                  <c:v>Iun. 2022</c:v>
                </c:pt>
                <c:pt idx="1">
                  <c:v>Iul. 2022</c:v>
                </c:pt>
                <c:pt idx="2">
                  <c:v>Aug. 2022</c:v>
                </c:pt>
                <c:pt idx="3">
                  <c:v>Sep. 2022</c:v>
                </c:pt>
                <c:pt idx="4">
                  <c:v>Oct. 2022</c:v>
                </c:pt>
                <c:pt idx="5">
                  <c:v>Nov. 2022</c:v>
                </c:pt>
                <c:pt idx="6">
                  <c:v>Dec. 2022</c:v>
                </c:pt>
                <c:pt idx="7">
                  <c:v>Ian. 2023</c:v>
                </c:pt>
                <c:pt idx="8">
                  <c:v>Feb. 2023</c:v>
                </c:pt>
                <c:pt idx="9">
                  <c:v>Mar. 2023</c:v>
                </c:pt>
                <c:pt idx="10">
                  <c:v>Apr. 2023</c:v>
                </c:pt>
                <c:pt idx="11">
                  <c:v>Mai 2023</c:v>
                </c:pt>
                <c:pt idx="12">
                  <c:v>Iun. 2023</c:v>
                </c:pt>
              </c:strCache>
            </c:strRef>
          </c:cat>
          <c:val>
            <c:numRef>
              <c:f>Sheet1!$B$3:$N$3</c:f>
              <c:numCache>
                <c:formatCode>General</c:formatCode>
                <c:ptCount val="13"/>
                <c:pt idx="0">
                  <c:v>82</c:v>
                </c:pt>
                <c:pt idx="1">
                  <c:v>63</c:v>
                </c:pt>
                <c:pt idx="2">
                  <c:v>48</c:v>
                </c:pt>
                <c:pt idx="3">
                  <c:v>78</c:v>
                </c:pt>
                <c:pt idx="4">
                  <c:v>64</c:v>
                </c:pt>
                <c:pt idx="5">
                  <c:v>77</c:v>
                </c:pt>
                <c:pt idx="6">
                  <c:v>53</c:v>
                </c:pt>
                <c:pt idx="7">
                  <c:v>17</c:v>
                </c:pt>
                <c:pt idx="8">
                  <c:v>63</c:v>
                </c:pt>
                <c:pt idx="9">
                  <c:v>54</c:v>
                </c:pt>
                <c:pt idx="10">
                  <c:v>54</c:v>
                </c:pt>
                <c:pt idx="11">
                  <c:v>64</c:v>
                </c:pt>
                <c:pt idx="12">
                  <c:v>50</c:v>
                </c:pt>
              </c:numCache>
            </c:numRef>
          </c:val>
          <c:smooth val="0"/>
          <c:extLst>
            <c:ext xmlns:c16="http://schemas.microsoft.com/office/drawing/2014/chart" uri="{C3380CC4-5D6E-409C-BE32-E72D297353CC}">
              <c16:uniqueId val="{00000001-C33D-426F-A3B5-E5097F300BBF}"/>
            </c:ext>
          </c:extLst>
        </c:ser>
        <c:dLbls>
          <c:showLegendKey val="0"/>
          <c:showVal val="0"/>
          <c:showCatName val="0"/>
          <c:showSerName val="0"/>
          <c:showPercent val="0"/>
          <c:showBubbleSize val="0"/>
        </c:dLbls>
        <c:marker val="1"/>
        <c:smooth val="0"/>
        <c:axId val="762632799"/>
        <c:axId val="1"/>
      </c:lineChart>
      <c:catAx>
        <c:axId val="762632799"/>
        <c:scaling>
          <c:orientation val="minMax"/>
        </c:scaling>
        <c:delete val="0"/>
        <c:axPos val="b"/>
        <c:numFmt formatCode="@" sourceLinked="0"/>
        <c:majorTickMark val="out"/>
        <c:minorTickMark val="none"/>
        <c:tickLblPos val="nextTo"/>
        <c:spPr>
          <a:ln w="3170">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800"/>
          <c:min val="0"/>
        </c:scaling>
        <c:delete val="0"/>
        <c:axPos val="l"/>
        <c:majorGridlines>
          <c:spPr>
            <a:ln w="3170">
              <a:solidFill>
                <a:srgbClr val="000000"/>
              </a:solidFill>
              <a:prstDash val="solid"/>
            </a:ln>
          </c:spPr>
        </c:majorGridlines>
        <c:title>
          <c:tx>
            <c:rich>
              <a:bodyPr rot="0" vert="wordArtVert"/>
              <a:lstStyle/>
              <a:p>
                <a:pPr algn="ctr">
                  <a:defRPr sz="799" b="0" i="0" u="none" strike="noStrike" baseline="0">
                    <a:solidFill>
                      <a:srgbClr val="000000"/>
                    </a:solidFill>
                    <a:latin typeface="Arial"/>
                    <a:ea typeface="Arial"/>
                    <a:cs typeface="Arial"/>
                  </a:defRPr>
                </a:pPr>
                <a:r>
                  <a:rPr lang="en-GB"/>
                  <a:t>NUMĂR</a:t>
                </a:r>
              </a:p>
            </c:rich>
          </c:tx>
          <c:layout>
            <c:manualLayout>
              <c:xMode val="edge"/>
              <c:yMode val="edge"/>
              <c:x val="3.7993920972644375E-2"/>
              <c:y val="0.34210526315789475"/>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n-US"/>
          </a:p>
        </c:txPr>
        <c:crossAx val="762632799"/>
        <c:crosses val="autoZero"/>
        <c:crossBetween val="midCat"/>
        <c:majorUnit val="200"/>
      </c:valAx>
      <c:spPr>
        <a:solidFill>
          <a:srgbClr val="FFFFFF"/>
        </a:solidFill>
        <a:ln w="25361">
          <a:noFill/>
        </a:ln>
      </c:spPr>
    </c:plotArea>
    <c:legend>
      <c:legendPos val="b"/>
      <c:layout>
        <c:manualLayout>
          <c:xMode val="edge"/>
          <c:yMode val="edge"/>
          <c:x val="0.23708206686930092"/>
          <c:y val="0.95614035087719296"/>
          <c:w val="0.47872340425531917"/>
          <c:h val="4.6783625730994149E-2"/>
        </c:manualLayout>
      </c:layout>
      <c:overlay val="0"/>
      <c:spPr>
        <a:noFill/>
        <a:ln w="25361">
          <a:noFill/>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0.51765</cdr:x>
      <cdr:y>0.26514</cdr:y>
    </cdr:from>
    <cdr:to>
      <cdr:x>0.95529</cdr:x>
      <cdr:y>0.336</cdr:y>
    </cdr:to>
    <cdr:sp macro="" textlink="">
      <cdr:nvSpPr>
        <cdr:cNvPr id="4" name="Text Box 3"/>
        <cdr:cNvSpPr txBox="1"/>
      </cdr:nvSpPr>
      <cdr:spPr>
        <a:xfrm xmlns:a="http://schemas.openxmlformats.org/drawingml/2006/main">
          <a:off x="3218689" y="848564"/>
          <a:ext cx="2721254" cy="2267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800">
              <a:solidFill>
                <a:schemeClr val="tx1">
                  <a:lumMod val="65000"/>
                  <a:lumOff val="35000"/>
                </a:schemeClr>
              </a:solidFill>
              <a:effectLst/>
              <a:latin typeface="+mn-lt"/>
              <a:ea typeface="+mn-ea"/>
              <a:cs typeface="+mn-cs"/>
            </a:rPr>
            <a:t>Pensia medie lunar</a:t>
          </a:r>
          <a:r>
            <a:rPr lang="ro-RO" sz="800">
              <a:solidFill>
                <a:schemeClr val="tx1">
                  <a:lumMod val="65000"/>
                  <a:lumOff val="35000"/>
                </a:schemeClr>
              </a:solidFill>
              <a:effectLst/>
              <a:latin typeface="+mn-lt"/>
              <a:ea typeface="+mn-ea"/>
              <a:cs typeface="+mn-cs"/>
            </a:rPr>
            <a:t>ă</a:t>
          </a:r>
          <a:r>
            <a:rPr lang="en-US" sz="800">
              <a:solidFill>
                <a:schemeClr val="tx1">
                  <a:lumMod val="65000"/>
                  <a:lumOff val="35000"/>
                </a:schemeClr>
              </a:solidFill>
              <a:effectLst/>
              <a:latin typeface="+mn-lt"/>
              <a:ea typeface="+mn-ea"/>
              <a:cs typeface="+mn-cs"/>
            </a:rPr>
            <a:t> de asigur</a:t>
          </a:r>
          <a:r>
            <a:rPr lang="ro-RO" sz="800">
              <a:solidFill>
                <a:schemeClr val="tx1">
                  <a:lumMod val="65000"/>
                  <a:lumOff val="35000"/>
                </a:schemeClr>
              </a:solidFill>
              <a:effectLst/>
              <a:latin typeface="+mn-lt"/>
              <a:ea typeface="+mn-ea"/>
              <a:cs typeface="+mn-cs"/>
            </a:rPr>
            <a:t>ă</a:t>
          </a:r>
          <a:r>
            <a:rPr lang="en-US" sz="800">
              <a:solidFill>
                <a:schemeClr val="tx1">
                  <a:lumMod val="65000"/>
                  <a:lumOff val="35000"/>
                </a:schemeClr>
              </a:solidFill>
              <a:effectLst/>
              <a:latin typeface="+mn-lt"/>
              <a:ea typeface="+mn-ea"/>
              <a:cs typeface="+mn-cs"/>
            </a:rPr>
            <a:t>ri sociale de stat =2005 lei</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15253CF-458C-4EB2-9708-DA7BD31F0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34</Pages>
  <Words>5482</Words>
  <Characters>31251</Characters>
  <Application>Microsoft Office Word</Application>
  <DocSecurity>0</DocSecurity>
  <Lines>260</Lines>
  <Paragraphs>73</Paragraphs>
  <ScaleCrop>false</ScaleCrop>
  <HeadingPairs>
    <vt:vector size="6" baseType="variant">
      <vt:variant>
        <vt:lpstr>Title</vt:lpstr>
      </vt:variant>
      <vt:variant>
        <vt:i4>1</vt:i4>
      </vt:variant>
      <vt:variant>
        <vt:lpstr>Headings</vt:lpstr>
      </vt:variant>
      <vt:variant>
        <vt:i4>47</vt:i4>
      </vt:variant>
      <vt:variant>
        <vt:lpstr>Titlu</vt:lpstr>
      </vt:variant>
      <vt:variant>
        <vt:i4>1</vt:i4>
      </vt:variant>
    </vt:vector>
  </HeadingPairs>
  <TitlesOfParts>
    <vt:vector size="49" baseType="lpstr">
      <vt:lpstr>Dimensiunile şi structura populaţiei unei ţări depind de procesele demografice esenţiale, adică de natalitate, mortalitate şi de migraţia internaţională, fenomenele demografice având, la rândul lor, puternice influenţe asupra nivelului şi ritmului dezvol</vt:lpstr>
      <vt:lpstr/>
      <vt:lpstr/>
      <vt:lpstr/>
      <vt:lpstr/>
      <vt:lpstr/>
      <vt:lpstr/>
      <vt:lpstr/>
      <vt:lpstr/>
      <vt:lpstr/>
      <vt:lpstr/>
      <vt:lpstr/>
      <vt:lpstr/>
      <vt:lpstr/>
      <vt:lpstr/>
      <vt:lpstr/>
      <vt:lpstr/>
      <vt:lpstr/>
      <vt:lpstr/>
      <vt:lpstr/>
      <vt:lpstr/>
      <vt:lpstr/>
      <vt:lpstr/>
      <vt:lpstr/>
      <vt:lpstr>I. STATISTICĂ SOCIALĂ</vt:lpstr>
      <vt:lpstr>/</vt:lpstr>
      <vt:lpstr/>
      <vt:lpstr/>
      <vt:lpstr>Fenomenul de îmbătrânire a populaţiei </vt:lpstr>
      <vt:lpstr/>
      <vt:lpstr>Populația rezidentă la 1 ianuarie 2023</vt:lpstr>
      <vt:lpstr/>
      <vt:lpstr/>
      <vt:lpstr/>
      <vt:lpstr>Efectivul salariaților   la sfârșitul lunii iunie 2023</vt:lpstr>
      <vt:lpstr/>
      <vt:lpstr>Numărul mediu de pensionari şi pensia medie lunară din trimestrul II 2023</vt:lpstr>
      <vt:lpstr/>
      <vt:lpstr>II. STATISTICĂ ECONOMICĂ</vt:lpstr>
      <vt:lpstr>Autorizații de construire eliberate pentru clădiri din semestrul I 2023</vt:lpstr>
      <vt:lpstr/>
      <vt:lpstr/>
      <vt:lpstr>2.4. TURISM DIN SEMESTRUL I 2023</vt:lpstr>
      <vt:lpstr/>
      <vt:lpstr/>
      <vt:lpstr/>
      <vt:lpstr/>
      <vt:lpstr>2.5. INFLAŢIA ŞI EVOLUŢIA PREŢURILOR DE CONSUM  )</vt:lpstr>
      <vt:lpstr>Dimensiunile şi structura populaţiei unei ţări depind de procesele demografice esenţiale, adică de natalitate, mortalitate şi de migraţia internaţională, fenomenele demografice având, la rândul lor, puternice influenţe asupra nivelului şi ritmului dezvol</vt:lpstr>
    </vt:vector>
  </TitlesOfParts>
  <Company>Grizli777</Company>
  <LinksUpToDate>false</LinksUpToDate>
  <CharactersWithSpaces>36660</CharactersWithSpaces>
  <SharedDoc>false</SharedDoc>
  <HLinks>
    <vt:vector size="6" baseType="variant">
      <vt:variant>
        <vt:i4>3473512</vt:i4>
      </vt:variant>
      <vt:variant>
        <vt:i4>39</vt:i4>
      </vt:variant>
      <vt:variant>
        <vt:i4>0</vt:i4>
      </vt:variant>
      <vt:variant>
        <vt:i4>5</vt:i4>
      </vt:variant>
      <vt:variant>
        <vt:lpwstr>http://www.prahova.insse.ro/wp-content/uploads/2021/08/tur_06_21.xls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Dimensiunile şi structura populaţiei unei ţări depind de procesele demografice esenţiale, adică de natalitate, mortalitate şi de migraţia internaţională, fenomenele demografice având, la rândul lor, puternice influenţe asupra nivelului şi ritmului dezvol</dc:title>
  <dc:subject/>
  <dc:creator>luminita</dc:creator>
  <cp:keywords/>
  <dc:description/>
  <cp:lastModifiedBy>Georgiana Luminita Serghie</cp:lastModifiedBy>
  <cp:revision>15</cp:revision>
  <cp:lastPrinted>2023-10-26T08:57:00Z</cp:lastPrinted>
  <dcterms:created xsi:type="dcterms:W3CDTF">2023-10-23T06:35:00Z</dcterms:created>
  <dcterms:modified xsi:type="dcterms:W3CDTF">2023-10-27T06:29:00Z</dcterms:modified>
</cp:coreProperties>
</file>