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73" w:rsidRPr="00FD4A79" w:rsidRDefault="00C47173" w:rsidP="00813468">
      <w:pPr>
        <w:ind w:left="284" w:right="-1"/>
        <w:jc w:val="center"/>
        <w:rPr>
          <w:b/>
          <w:lang w:val="ro-RO"/>
        </w:rPr>
      </w:pPr>
      <w:r w:rsidRPr="00FD4A79">
        <w:rPr>
          <w:b/>
          <w:lang w:val="ro-RO"/>
        </w:rPr>
        <w:t xml:space="preserve">                                          </w:t>
      </w:r>
    </w:p>
    <w:p w:rsidR="00C47173" w:rsidRPr="00FD4A79" w:rsidRDefault="00C47173" w:rsidP="00813468">
      <w:pPr>
        <w:ind w:left="284" w:right="-1"/>
        <w:jc w:val="center"/>
        <w:rPr>
          <w:b/>
          <w:lang w:val="ro-RO"/>
        </w:rPr>
      </w:pPr>
      <w:r w:rsidRPr="00FD4A79">
        <w:rPr>
          <w:b/>
          <w:lang w:val="ro-RO"/>
        </w:rPr>
        <w:t xml:space="preserve"> </w:t>
      </w:r>
    </w:p>
    <w:p w:rsidR="00C47173" w:rsidRPr="00FD4A79" w:rsidRDefault="00C47173" w:rsidP="00813468">
      <w:pPr>
        <w:ind w:left="284" w:right="-1"/>
        <w:jc w:val="center"/>
        <w:rPr>
          <w:b/>
          <w:lang w:val="ro-RO"/>
        </w:rPr>
      </w:pPr>
      <w:r w:rsidRPr="00FD4A79">
        <w:rPr>
          <w:b/>
          <w:lang w:val="ro-RO"/>
        </w:rPr>
        <w:t xml:space="preserve">RAPORT PRIVIND ACTIVITATEA </w:t>
      </w:r>
      <w:r w:rsidR="00A335B0" w:rsidRPr="00FD4A79">
        <w:rPr>
          <w:b/>
          <w:lang w:val="ro-RO"/>
        </w:rPr>
        <w:t>AGENȚIEI PENTRU PROTECȚIA MEDIULUI PRAHOVA</w:t>
      </w:r>
    </w:p>
    <w:p w:rsidR="006D75F6" w:rsidRPr="00FD4A79" w:rsidRDefault="00683EB8" w:rsidP="00813468">
      <w:pPr>
        <w:ind w:left="284" w:right="-1"/>
        <w:jc w:val="center"/>
        <w:rPr>
          <w:b/>
          <w:lang w:val="ro-RO"/>
        </w:rPr>
      </w:pPr>
      <w:r>
        <w:rPr>
          <w:b/>
          <w:lang w:val="ro-RO"/>
        </w:rPr>
        <w:t xml:space="preserve">Până </w:t>
      </w:r>
      <w:r w:rsidR="00A374F7">
        <w:rPr>
          <w:b/>
          <w:lang w:val="ro-RO"/>
        </w:rPr>
        <w:t>în</w:t>
      </w:r>
      <w:r>
        <w:rPr>
          <w:b/>
          <w:lang w:val="ro-RO"/>
        </w:rPr>
        <w:t xml:space="preserve"> luna noiembrie</w:t>
      </w:r>
      <w:r w:rsidR="006D75F6" w:rsidRPr="00FD4A79">
        <w:rPr>
          <w:b/>
          <w:lang w:val="ro-RO"/>
        </w:rPr>
        <w:t xml:space="preserve"> 202</w:t>
      </w:r>
      <w:r w:rsidR="00024BEC" w:rsidRPr="00FD4A79">
        <w:rPr>
          <w:b/>
          <w:lang w:val="ro-RO"/>
        </w:rPr>
        <w:t>3</w:t>
      </w:r>
    </w:p>
    <w:p w:rsidR="00C47173" w:rsidRPr="00FD4A79" w:rsidRDefault="00C47173" w:rsidP="00813468">
      <w:pPr>
        <w:ind w:left="284" w:right="-1"/>
        <w:jc w:val="center"/>
        <w:rPr>
          <w:b/>
          <w:lang w:val="ro-RO"/>
        </w:rPr>
      </w:pPr>
      <w:r w:rsidRPr="00FD4A79">
        <w:rPr>
          <w:b/>
          <w:lang w:val="ro-RO"/>
        </w:rPr>
        <w:t xml:space="preserve"> </w:t>
      </w:r>
    </w:p>
    <w:p w:rsidR="00E66D86" w:rsidRPr="00FD4A79" w:rsidRDefault="00E66D86" w:rsidP="00813468">
      <w:pPr>
        <w:pStyle w:val="ListParagraph"/>
        <w:spacing w:after="60" w:line="240" w:lineRule="auto"/>
        <w:ind w:left="284" w:right="-1" w:firstLine="426"/>
        <w:jc w:val="both"/>
        <w:rPr>
          <w:rFonts w:ascii="Times New Roman" w:hAnsi="Times New Roman"/>
          <w:sz w:val="24"/>
          <w:szCs w:val="24"/>
          <w:lang w:val="ro-RO"/>
        </w:rPr>
      </w:pPr>
    </w:p>
    <w:p w:rsidR="00445F80" w:rsidRPr="00445F80" w:rsidRDefault="00445F80" w:rsidP="00445F80">
      <w:pPr>
        <w:pStyle w:val="ListParagraph"/>
        <w:spacing w:after="60" w:line="240" w:lineRule="auto"/>
        <w:ind w:left="284" w:right="-1" w:firstLine="426"/>
        <w:jc w:val="both"/>
        <w:rPr>
          <w:rFonts w:ascii="Times New Roman" w:hAnsi="Times New Roman"/>
          <w:sz w:val="24"/>
          <w:szCs w:val="24"/>
          <w:lang w:val="ro-RO"/>
        </w:rPr>
      </w:pPr>
      <w:r w:rsidRPr="00445F80">
        <w:rPr>
          <w:rFonts w:ascii="Times New Roman" w:hAnsi="Times New Roman"/>
          <w:sz w:val="24"/>
          <w:szCs w:val="24"/>
          <w:lang w:val="ro-RO"/>
        </w:rPr>
        <w:t xml:space="preserve">In conformitate cu </w:t>
      </w:r>
      <w:r w:rsidRPr="0087050D">
        <w:rPr>
          <w:rFonts w:ascii="Times New Roman" w:hAnsi="Times New Roman"/>
          <w:i/>
          <w:sz w:val="24"/>
          <w:szCs w:val="24"/>
          <w:lang w:val="ro-RO"/>
        </w:rPr>
        <w:t xml:space="preserve">OUG </w:t>
      </w:r>
      <w:r w:rsidRPr="0087050D">
        <w:rPr>
          <w:rFonts w:ascii="Times New Roman" w:hAnsi="Times New Roman"/>
          <w:i/>
          <w:sz w:val="24"/>
          <w:szCs w:val="24"/>
          <w:lang w:val="nn-NO"/>
        </w:rPr>
        <w:t>nr. 195/2005 privind protecția mediului</w:t>
      </w:r>
      <w:r w:rsidRPr="00445F80">
        <w:rPr>
          <w:rFonts w:ascii="Times New Roman" w:hAnsi="Times New Roman"/>
          <w:sz w:val="24"/>
          <w:szCs w:val="24"/>
          <w:lang w:val="ro-RO"/>
        </w:rPr>
        <w:t>, care are ca obiect un ansamblu de reglementări juridice privind protecția mediului, obiectiv de interes public major, autoritatea competentă pentru protecția mediului este reprezentata de autoritatea publică centrală pentru protecția mediului, Agenția Națională pentru Protecția Mediului, agențiile județene pentru protecția</w:t>
      </w:r>
      <w:r w:rsidR="005C3686">
        <w:rPr>
          <w:rFonts w:ascii="Times New Roman" w:hAnsi="Times New Roman"/>
          <w:sz w:val="24"/>
          <w:szCs w:val="24"/>
          <w:lang w:val="ro-RO"/>
        </w:rPr>
        <w:t xml:space="preserve"> mediului</w:t>
      </w:r>
      <w:r w:rsidRPr="00445F80">
        <w:rPr>
          <w:rFonts w:ascii="Times New Roman" w:hAnsi="Times New Roman"/>
          <w:sz w:val="24"/>
          <w:szCs w:val="24"/>
          <w:lang w:val="ro-RO"/>
        </w:rPr>
        <w:t>,  precum și Garda Națională de</w:t>
      </w:r>
      <w:r>
        <w:rPr>
          <w:rFonts w:ascii="Times New Roman" w:hAnsi="Times New Roman"/>
          <w:sz w:val="24"/>
          <w:szCs w:val="24"/>
          <w:lang w:val="ro-RO"/>
        </w:rPr>
        <w:t xml:space="preserve"> </w:t>
      </w:r>
      <w:r w:rsidRPr="00445F80">
        <w:rPr>
          <w:rFonts w:ascii="Times New Roman" w:hAnsi="Times New Roman"/>
          <w:sz w:val="24"/>
          <w:szCs w:val="24"/>
          <w:lang w:val="ro-RO"/>
        </w:rPr>
        <w:t>Mediu și structurile subordonate acesteia.</w:t>
      </w:r>
    </w:p>
    <w:p w:rsidR="00445F80" w:rsidRPr="00445F80" w:rsidRDefault="00445F80" w:rsidP="00445F80">
      <w:pPr>
        <w:pStyle w:val="ListParagraph"/>
        <w:spacing w:after="60" w:line="240" w:lineRule="auto"/>
        <w:ind w:left="284" w:right="-1" w:firstLine="426"/>
        <w:jc w:val="both"/>
        <w:rPr>
          <w:rFonts w:ascii="Times New Roman" w:hAnsi="Times New Roman"/>
          <w:sz w:val="24"/>
          <w:szCs w:val="24"/>
          <w:lang w:val="ro-RO"/>
        </w:rPr>
      </w:pPr>
    </w:p>
    <w:p w:rsidR="00E66D86" w:rsidRDefault="00E66D86" w:rsidP="00813468">
      <w:pPr>
        <w:pStyle w:val="ListParagraph"/>
        <w:spacing w:after="60" w:line="240" w:lineRule="auto"/>
        <w:ind w:left="284" w:right="-1" w:firstLine="426"/>
        <w:jc w:val="both"/>
        <w:rPr>
          <w:rFonts w:ascii="Times New Roman" w:eastAsia="Times New Roman" w:hAnsi="Times New Roman"/>
          <w:sz w:val="24"/>
          <w:szCs w:val="24"/>
          <w:lang w:val="ro-RO" w:eastAsia="ro-RO"/>
        </w:rPr>
      </w:pPr>
      <w:r w:rsidRPr="00FD4A79">
        <w:rPr>
          <w:rFonts w:ascii="Times New Roman" w:hAnsi="Times New Roman"/>
          <w:sz w:val="24"/>
          <w:szCs w:val="24"/>
          <w:lang w:val="ro-RO"/>
        </w:rPr>
        <w:t xml:space="preserve">Agentia pentru Protectia Mediului Prahova funcționează în baza </w:t>
      </w:r>
      <w:r w:rsidRPr="0087050D">
        <w:rPr>
          <w:rFonts w:ascii="Times New Roman" w:hAnsi="Times New Roman"/>
          <w:i/>
          <w:sz w:val="24"/>
          <w:szCs w:val="24"/>
          <w:lang w:val="ro-RO"/>
        </w:rPr>
        <w:t xml:space="preserve">H.G. nr.1000/2012 </w:t>
      </w:r>
      <w:r w:rsidRPr="0087050D">
        <w:rPr>
          <w:rFonts w:ascii="Times New Roman" w:eastAsiaTheme="minorHAnsi" w:hAnsi="Times New Roman"/>
          <w:i/>
          <w:sz w:val="24"/>
          <w:szCs w:val="24"/>
          <w:lang w:val="ro-RO"/>
        </w:rPr>
        <w:t>privind reorganizarea şi funcţionarea Agenţiei Naţionale pentru Protecţia Mediului şi a instituţiilor publice aflate în subordinea acesteia</w:t>
      </w:r>
      <w:r w:rsidRPr="00FD4A79">
        <w:rPr>
          <w:rFonts w:ascii="Times New Roman" w:eastAsiaTheme="minorHAnsi" w:hAnsi="Times New Roman"/>
          <w:sz w:val="24"/>
          <w:szCs w:val="24"/>
          <w:lang w:val="ro-RO"/>
        </w:rPr>
        <w:t>, cu modificările şi completările ulterioare</w:t>
      </w:r>
      <w:r w:rsidRPr="00FD4A79">
        <w:rPr>
          <w:rFonts w:ascii="Times New Roman" w:eastAsia="Times New Roman" w:hAnsi="Times New Roman"/>
          <w:sz w:val="24"/>
          <w:szCs w:val="24"/>
          <w:lang w:val="ro-RO" w:eastAsia="ro-RO"/>
        </w:rPr>
        <w:t>.</w:t>
      </w:r>
    </w:p>
    <w:p w:rsidR="003C79B9" w:rsidRPr="00FD4A79" w:rsidRDefault="003C79B9" w:rsidP="00813468">
      <w:pPr>
        <w:pStyle w:val="ListParagraph"/>
        <w:spacing w:after="60" w:line="240" w:lineRule="auto"/>
        <w:ind w:left="284" w:right="-1" w:firstLine="426"/>
        <w:jc w:val="both"/>
        <w:rPr>
          <w:rFonts w:ascii="Times New Roman" w:eastAsia="Times New Roman" w:hAnsi="Times New Roman"/>
          <w:sz w:val="24"/>
          <w:szCs w:val="24"/>
          <w:lang w:eastAsia="ro-RO"/>
        </w:rPr>
      </w:pPr>
    </w:p>
    <w:p w:rsidR="00813468" w:rsidRPr="00813468" w:rsidRDefault="00813468" w:rsidP="00317E06">
      <w:pPr>
        <w:ind w:left="284" w:right="-81" w:firstLine="426"/>
        <w:jc w:val="both"/>
        <w:rPr>
          <w:b/>
          <w:lang w:val="it-IT"/>
        </w:rPr>
      </w:pPr>
      <w:r w:rsidRPr="00813468">
        <w:rPr>
          <w:b/>
          <w:lang w:val="it-IT"/>
        </w:rPr>
        <w:t>Angajarea personalului conform Planurilor de intarire a capacită</w:t>
      </w:r>
      <w:r w:rsidR="0028357C">
        <w:rPr>
          <w:b/>
          <w:lang w:val="it-IT"/>
        </w:rPr>
        <w:t>ț</w:t>
      </w:r>
      <w:r w:rsidRPr="00813468">
        <w:rPr>
          <w:b/>
          <w:lang w:val="it-IT"/>
        </w:rPr>
        <w:t>ii institu</w:t>
      </w:r>
      <w:r w:rsidR="0028357C">
        <w:rPr>
          <w:b/>
          <w:lang w:val="it-IT"/>
        </w:rPr>
        <w:t>ț</w:t>
      </w:r>
      <w:r w:rsidRPr="00813468">
        <w:rPr>
          <w:b/>
          <w:lang w:val="it-IT"/>
        </w:rPr>
        <w:t>ionale</w:t>
      </w:r>
      <w:r>
        <w:rPr>
          <w:b/>
          <w:lang w:val="it-IT"/>
        </w:rPr>
        <w:t>:</w:t>
      </w:r>
    </w:p>
    <w:p w:rsidR="00813468" w:rsidRPr="00285D86" w:rsidRDefault="00813468" w:rsidP="00813468">
      <w:pPr>
        <w:ind w:left="284" w:right="-81"/>
        <w:jc w:val="both"/>
        <w:rPr>
          <w:lang w:val="it-IT"/>
        </w:rPr>
      </w:pPr>
      <w:r w:rsidRPr="00285D86">
        <w:rPr>
          <w:lang w:val="it-IT"/>
        </w:rPr>
        <w:t xml:space="preserve">       La 01.01.2023, organigrama APM Prahova cuprindea 44 posturi, iar la 23.11.2023 cuprinde 43 posturi, deoarece în cursul anului 2023 s-a desfiin</w:t>
      </w:r>
      <w:r w:rsidR="0028357C">
        <w:rPr>
          <w:lang w:val="it-IT"/>
        </w:rPr>
        <w:t>ț</w:t>
      </w:r>
      <w:r w:rsidRPr="00285D86">
        <w:rPr>
          <w:lang w:val="it-IT"/>
        </w:rPr>
        <w:t>at un post contractual de referent, grad profesional superior.</w:t>
      </w:r>
    </w:p>
    <w:p w:rsidR="00813468" w:rsidRPr="00285D86" w:rsidRDefault="00813468" w:rsidP="00813468">
      <w:pPr>
        <w:pStyle w:val="ListParagraph"/>
        <w:spacing w:after="60" w:line="240" w:lineRule="auto"/>
        <w:ind w:left="284" w:firstLine="180"/>
        <w:jc w:val="both"/>
        <w:rPr>
          <w:rFonts w:ascii="Times New Roman" w:eastAsia="Times New Roman" w:hAnsi="Times New Roman"/>
          <w:sz w:val="24"/>
          <w:szCs w:val="24"/>
          <w:lang w:eastAsia="ro-RO"/>
        </w:rPr>
      </w:pPr>
      <w:r w:rsidRPr="00285D86">
        <w:rPr>
          <w:rFonts w:ascii="Times New Roman" w:hAnsi="Times New Roman"/>
          <w:sz w:val="24"/>
          <w:szCs w:val="24"/>
          <w:lang w:val="ro-RO"/>
        </w:rPr>
        <w:t xml:space="preserve">     Structura organizatorică a Agenției pentru Protecția Mediului Prahova cuprinde un număr total de 43 posturi, din care 42 posturi corespunzătoare func</w:t>
      </w:r>
      <w:r w:rsidR="009C1C0D">
        <w:rPr>
          <w:rFonts w:ascii="Times New Roman" w:hAnsi="Times New Roman"/>
          <w:sz w:val="24"/>
          <w:szCs w:val="24"/>
          <w:lang w:val="ro-RO"/>
        </w:rPr>
        <w:t>ț</w:t>
      </w:r>
      <w:r w:rsidRPr="00285D86">
        <w:rPr>
          <w:rFonts w:ascii="Times New Roman" w:hAnsi="Times New Roman"/>
          <w:sz w:val="24"/>
          <w:szCs w:val="24"/>
          <w:lang w:val="ro-RO"/>
        </w:rPr>
        <w:t xml:space="preserve">iilor publice </w:t>
      </w:r>
      <w:r w:rsidR="009C1C0D">
        <w:rPr>
          <w:rFonts w:ascii="Times New Roman" w:hAnsi="Times New Roman"/>
          <w:sz w:val="24"/>
          <w:szCs w:val="24"/>
          <w:lang w:val="ro-RO"/>
        </w:rPr>
        <w:t>ș</w:t>
      </w:r>
      <w:r w:rsidRPr="00285D86">
        <w:rPr>
          <w:rFonts w:ascii="Times New Roman" w:hAnsi="Times New Roman"/>
          <w:sz w:val="24"/>
          <w:szCs w:val="24"/>
          <w:lang w:val="ro-RO"/>
        </w:rPr>
        <w:t>i 1 post corespunzător func</w:t>
      </w:r>
      <w:r w:rsidR="0028357C">
        <w:rPr>
          <w:rFonts w:ascii="Times New Roman" w:hAnsi="Times New Roman"/>
          <w:sz w:val="24"/>
          <w:szCs w:val="24"/>
          <w:lang w:val="ro-RO"/>
        </w:rPr>
        <w:t>ț</w:t>
      </w:r>
      <w:r w:rsidRPr="00285D86">
        <w:rPr>
          <w:rFonts w:ascii="Times New Roman" w:hAnsi="Times New Roman"/>
          <w:sz w:val="24"/>
          <w:szCs w:val="24"/>
          <w:lang w:val="ro-RO"/>
        </w:rPr>
        <w:t>iilor contractuale.</w:t>
      </w:r>
    </w:p>
    <w:p w:rsidR="00813468" w:rsidRPr="00285D86" w:rsidRDefault="00813468" w:rsidP="00813468">
      <w:pPr>
        <w:ind w:left="284"/>
        <w:jc w:val="both"/>
        <w:rPr>
          <w:lang w:val="ro-RO"/>
        </w:rPr>
      </w:pPr>
      <w:r w:rsidRPr="00285D86">
        <w:rPr>
          <w:lang w:val="ro-RO"/>
        </w:rPr>
        <w:t xml:space="preserve">        </w:t>
      </w:r>
      <w:r w:rsidR="0028357C">
        <w:rPr>
          <w:lang w:val="ro-RO"/>
        </w:rPr>
        <w:t>Î</w:t>
      </w:r>
      <w:r w:rsidRPr="00285D86">
        <w:rPr>
          <w:lang w:val="ro-RO"/>
        </w:rPr>
        <w:t xml:space="preserve">ncepând cu anul 2018 au părăsit institutia, prin pensionare,  un număr de 7 persoane, astfel că, din totalul de 43 de posturi,  Agentia pentru Protectia Mediului Prahova are </w:t>
      </w:r>
      <w:r w:rsidR="009C1C0D">
        <w:rPr>
          <w:lang w:val="ro-RO"/>
        </w:rPr>
        <w:t>î</w:t>
      </w:r>
      <w:r w:rsidRPr="00285D86">
        <w:rPr>
          <w:lang w:val="ro-RO"/>
        </w:rPr>
        <w:t>n prezent 7 posturi vacante</w:t>
      </w:r>
      <w:r w:rsidR="00981B3C">
        <w:rPr>
          <w:lang w:val="ro-RO"/>
        </w:rPr>
        <w:t>.</w:t>
      </w:r>
    </w:p>
    <w:p w:rsidR="003C79B9" w:rsidRDefault="00813468" w:rsidP="00981B3C">
      <w:pPr>
        <w:ind w:left="284"/>
        <w:rPr>
          <w:b/>
          <w:lang w:val="it-IT"/>
        </w:rPr>
      </w:pPr>
      <w:r w:rsidRPr="00285D86">
        <w:rPr>
          <w:lang w:val="ro-RO"/>
        </w:rPr>
        <w:t xml:space="preserve">     </w:t>
      </w:r>
      <w:r w:rsidR="00A374F7">
        <w:rPr>
          <w:lang w:val="ro-RO"/>
        </w:rPr>
        <w:tab/>
      </w:r>
    </w:p>
    <w:p w:rsidR="00813468" w:rsidRPr="00A53AB5" w:rsidRDefault="00813468" w:rsidP="00A53AB5">
      <w:pPr>
        <w:ind w:left="284" w:firstLine="436"/>
        <w:rPr>
          <w:lang w:val="ro-RO"/>
        </w:rPr>
      </w:pPr>
      <w:r w:rsidRPr="00813468">
        <w:rPr>
          <w:b/>
          <w:lang w:val="it-IT"/>
        </w:rPr>
        <w:t>Execu</w:t>
      </w:r>
      <w:r w:rsidR="00A374F7">
        <w:rPr>
          <w:b/>
          <w:lang w:val="it-IT"/>
        </w:rPr>
        <w:t>ț</w:t>
      </w:r>
      <w:r w:rsidRPr="00813468">
        <w:rPr>
          <w:b/>
          <w:lang w:val="it-IT"/>
        </w:rPr>
        <w:t>ia bugetar</w:t>
      </w:r>
      <w:r w:rsidR="00A53AB5">
        <w:rPr>
          <w:b/>
          <w:lang w:val="it-IT"/>
        </w:rPr>
        <w:t>ă</w:t>
      </w:r>
      <w:r w:rsidRPr="00813468">
        <w:rPr>
          <w:b/>
          <w:lang w:val="it-IT"/>
        </w:rPr>
        <w:t xml:space="preserve"> -</w:t>
      </w:r>
      <w:r w:rsidR="00A53AB5">
        <w:rPr>
          <w:b/>
          <w:lang w:val="it-IT"/>
        </w:rPr>
        <w:t xml:space="preserve"> î</w:t>
      </w:r>
      <w:r w:rsidRPr="00813468">
        <w:rPr>
          <w:b/>
          <w:lang w:val="it-IT"/>
        </w:rPr>
        <w:t xml:space="preserve">ncadrarea </w:t>
      </w:r>
      <w:r w:rsidR="00A53AB5">
        <w:rPr>
          <w:b/>
          <w:lang w:val="it-IT"/>
        </w:rPr>
        <w:t>î</w:t>
      </w:r>
      <w:r w:rsidRPr="00813468">
        <w:rPr>
          <w:b/>
          <w:lang w:val="it-IT"/>
        </w:rPr>
        <w:t>n prevederile bugetare</w:t>
      </w:r>
    </w:p>
    <w:p w:rsidR="00813468" w:rsidRPr="00813468" w:rsidRDefault="00A374F7" w:rsidP="00813468">
      <w:pPr>
        <w:ind w:left="284" w:right="-81" w:firstLine="720"/>
        <w:jc w:val="both"/>
        <w:rPr>
          <w:lang w:val="it-IT"/>
        </w:rPr>
      </w:pPr>
      <w:r>
        <w:rPr>
          <w:lang w:val="it-IT"/>
        </w:rPr>
        <w:t>Î</w:t>
      </w:r>
      <w:r w:rsidR="00813468" w:rsidRPr="00813468">
        <w:rPr>
          <w:lang w:val="it-IT"/>
        </w:rPr>
        <w:t>n perioada 1 ianuarie 2023 – 31 octombrie 2023, totalul creditelor bugetare a fost de 4.055 mii lei, din care:</w:t>
      </w:r>
    </w:p>
    <w:p w:rsidR="00813468" w:rsidRPr="00813468" w:rsidRDefault="00813468" w:rsidP="00813468">
      <w:pPr>
        <w:ind w:left="284" w:right="-81" w:firstLine="720"/>
        <w:jc w:val="both"/>
        <w:rPr>
          <w:lang w:val="it-IT"/>
        </w:rPr>
      </w:pPr>
      <w:r w:rsidRPr="00813468">
        <w:rPr>
          <w:lang w:val="it-IT"/>
        </w:rPr>
        <w:t xml:space="preserve">-cheltuieli pentru personal </w:t>
      </w:r>
      <w:r w:rsidR="00A374F7">
        <w:rPr>
          <w:lang w:val="it-IT"/>
        </w:rPr>
        <w:t>-</w:t>
      </w:r>
      <w:r w:rsidRPr="00813468">
        <w:rPr>
          <w:lang w:val="it-IT"/>
        </w:rPr>
        <w:t xml:space="preserve"> 3.083 mii lei, </w:t>
      </w:r>
    </w:p>
    <w:p w:rsidR="00813468" w:rsidRPr="00813468" w:rsidRDefault="00813468" w:rsidP="00813468">
      <w:pPr>
        <w:ind w:left="284" w:right="-81" w:firstLine="720"/>
        <w:jc w:val="both"/>
        <w:rPr>
          <w:lang w:val="it-IT"/>
        </w:rPr>
      </w:pPr>
      <w:r w:rsidRPr="00813468">
        <w:rPr>
          <w:lang w:val="it-IT"/>
        </w:rPr>
        <w:t xml:space="preserve">-cheltuieli pentru materiale </w:t>
      </w:r>
      <w:r w:rsidR="00A374F7">
        <w:rPr>
          <w:lang w:val="it-IT"/>
        </w:rPr>
        <w:t>-</w:t>
      </w:r>
      <w:r w:rsidRPr="00813468">
        <w:rPr>
          <w:lang w:val="it-IT"/>
        </w:rPr>
        <w:t xml:space="preserve"> 549 mii lei,</w:t>
      </w:r>
    </w:p>
    <w:p w:rsidR="00813468" w:rsidRPr="00813468" w:rsidRDefault="00813468" w:rsidP="00813468">
      <w:pPr>
        <w:ind w:left="284" w:right="-81" w:firstLine="720"/>
        <w:jc w:val="both"/>
        <w:rPr>
          <w:lang w:val="it-IT"/>
        </w:rPr>
      </w:pPr>
      <w:r w:rsidRPr="00813468">
        <w:rPr>
          <w:lang w:val="it-IT"/>
        </w:rPr>
        <w:t>- desp</w:t>
      </w:r>
      <w:r w:rsidR="00A374F7">
        <w:rPr>
          <w:lang w:val="it-IT"/>
        </w:rPr>
        <w:t>ă</w:t>
      </w:r>
      <w:r w:rsidRPr="00813468">
        <w:rPr>
          <w:lang w:val="it-IT"/>
        </w:rPr>
        <w:t xml:space="preserve">gubiri pagube produse de animale salbatice </w:t>
      </w:r>
      <w:r w:rsidR="00A374F7">
        <w:rPr>
          <w:lang w:val="it-IT"/>
        </w:rPr>
        <w:t>-</w:t>
      </w:r>
      <w:r w:rsidRPr="00813468">
        <w:rPr>
          <w:lang w:val="it-IT"/>
        </w:rPr>
        <w:t xml:space="preserve"> 209 mii lei</w:t>
      </w:r>
    </w:p>
    <w:p w:rsidR="00813468" w:rsidRPr="00813468" w:rsidRDefault="00813468" w:rsidP="00813468">
      <w:pPr>
        <w:ind w:left="284" w:right="-81" w:firstLine="720"/>
        <w:jc w:val="both"/>
        <w:rPr>
          <w:lang w:val="it-IT"/>
        </w:rPr>
      </w:pPr>
      <w:r w:rsidRPr="00813468">
        <w:rPr>
          <w:lang w:val="it-IT"/>
        </w:rPr>
        <w:t xml:space="preserve">- cheltuieli de capital (investitii) </w:t>
      </w:r>
      <w:r w:rsidR="00A374F7">
        <w:rPr>
          <w:lang w:val="it-IT"/>
        </w:rPr>
        <w:t>-</w:t>
      </w:r>
      <w:r w:rsidRPr="00813468">
        <w:rPr>
          <w:lang w:val="it-IT"/>
        </w:rPr>
        <w:t xml:space="preserve"> 190 mii lei.</w:t>
      </w:r>
    </w:p>
    <w:p w:rsidR="00813468" w:rsidRPr="00813468" w:rsidRDefault="00813468" w:rsidP="00813468">
      <w:pPr>
        <w:ind w:left="284" w:right="-81" w:firstLine="720"/>
        <w:jc w:val="both"/>
        <w:rPr>
          <w:lang w:val="it-IT"/>
        </w:rPr>
      </w:pPr>
      <w:r w:rsidRPr="00A374F7">
        <w:rPr>
          <w:b/>
          <w:lang w:val="it-IT"/>
        </w:rPr>
        <w:t>Totalul tarifelor incasate a fost de 1.496 mii lei, din care 1.489 mii lei RON au fost virati la Bugetul de Stat</w:t>
      </w:r>
      <w:r w:rsidRPr="00813468">
        <w:rPr>
          <w:lang w:val="it-IT"/>
        </w:rPr>
        <w:t>.</w:t>
      </w:r>
    </w:p>
    <w:p w:rsidR="00813468" w:rsidRPr="00813468" w:rsidRDefault="00813468" w:rsidP="00813468">
      <w:pPr>
        <w:ind w:left="284" w:right="-81" w:firstLine="720"/>
        <w:jc w:val="both"/>
        <w:rPr>
          <w:lang w:val="it-IT"/>
        </w:rPr>
      </w:pPr>
    </w:p>
    <w:p w:rsidR="00813468" w:rsidRPr="00813468" w:rsidRDefault="001A64E2" w:rsidP="001A64E2">
      <w:pPr>
        <w:ind w:left="284" w:right="-81" w:firstLine="436"/>
        <w:jc w:val="both"/>
      </w:pPr>
      <w:proofErr w:type="spellStart"/>
      <w:r>
        <w:t>Î</w:t>
      </w:r>
      <w:r w:rsidR="00813468" w:rsidRPr="00813468">
        <w:t>n</w:t>
      </w:r>
      <w:proofErr w:type="spellEnd"/>
      <w:r w:rsidR="00813468" w:rsidRPr="00813468">
        <w:t xml:space="preserve"> </w:t>
      </w:r>
      <w:proofErr w:type="spellStart"/>
      <w:r w:rsidR="00813468" w:rsidRPr="00813468">
        <w:t>cursul</w:t>
      </w:r>
      <w:proofErr w:type="spellEnd"/>
      <w:r w:rsidR="00813468" w:rsidRPr="00813468">
        <w:t xml:space="preserve"> </w:t>
      </w:r>
      <w:proofErr w:type="spellStart"/>
      <w:r w:rsidR="00813468" w:rsidRPr="00813468">
        <w:t>anului</w:t>
      </w:r>
      <w:proofErr w:type="spellEnd"/>
      <w:r w:rsidR="00813468" w:rsidRPr="00813468">
        <w:t xml:space="preserve"> 2023 </w:t>
      </w:r>
      <w:r>
        <w:t xml:space="preserve">a </w:t>
      </w:r>
      <w:proofErr w:type="spellStart"/>
      <w:r>
        <w:t>fost</w:t>
      </w:r>
      <w:proofErr w:type="spellEnd"/>
      <w:r>
        <w:t xml:space="preserve"> </w:t>
      </w:r>
      <w:proofErr w:type="spellStart"/>
      <w:r>
        <w:t>instruit</w:t>
      </w:r>
      <w:proofErr w:type="spellEnd"/>
      <w:r>
        <w:t xml:space="preserve"> </w:t>
      </w:r>
      <w:proofErr w:type="spellStart"/>
      <w:r>
        <w:t>pe</w:t>
      </w:r>
      <w:proofErr w:type="spellEnd"/>
      <w:r>
        <w:t xml:space="preserve"> </w:t>
      </w:r>
      <w:proofErr w:type="spellStart"/>
      <w:r>
        <w:t>diferite</w:t>
      </w:r>
      <w:proofErr w:type="spellEnd"/>
      <w:r>
        <w:t xml:space="preserve"> </w:t>
      </w:r>
      <w:proofErr w:type="spellStart"/>
      <w:r>
        <w:t>domenii</w:t>
      </w:r>
      <w:proofErr w:type="spellEnd"/>
      <w:r>
        <w:t xml:space="preserve"> </w:t>
      </w:r>
      <w:proofErr w:type="gramStart"/>
      <w:r>
        <w:t>un</w:t>
      </w:r>
      <w:proofErr w:type="gramEnd"/>
      <w:r>
        <w:t xml:space="preserve"> </w:t>
      </w:r>
      <w:proofErr w:type="spellStart"/>
      <w:r>
        <w:t>număr</w:t>
      </w:r>
      <w:proofErr w:type="spellEnd"/>
      <w:r>
        <w:t xml:space="preserve"> de 23 de </w:t>
      </w:r>
      <w:proofErr w:type="spellStart"/>
      <w:r w:rsidR="005E0796">
        <w:t>persoan</w:t>
      </w:r>
      <w:r>
        <w:t>e</w:t>
      </w:r>
      <w:proofErr w:type="spellEnd"/>
      <w:r>
        <w:t>.</w:t>
      </w:r>
    </w:p>
    <w:p w:rsidR="00813468" w:rsidRPr="00813468" w:rsidRDefault="00813468" w:rsidP="00813468">
      <w:pPr>
        <w:ind w:left="284" w:right="-81"/>
        <w:jc w:val="both"/>
      </w:pPr>
    </w:p>
    <w:p w:rsidR="002042F3" w:rsidRPr="00FD4A79" w:rsidRDefault="002042F3" w:rsidP="00813468">
      <w:pPr>
        <w:pStyle w:val="Title"/>
        <w:ind w:left="284" w:right="-1"/>
        <w:jc w:val="both"/>
        <w:rPr>
          <w:color w:val="FF0000"/>
          <w:szCs w:val="24"/>
        </w:rPr>
      </w:pPr>
    </w:p>
    <w:p w:rsidR="00FF3499" w:rsidRPr="00CC5655" w:rsidRDefault="00FF3499" w:rsidP="00813468">
      <w:pPr>
        <w:ind w:left="284" w:right="-1" w:firstLine="516"/>
        <w:jc w:val="both"/>
        <w:rPr>
          <w:b/>
          <w:lang w:val="ro-RO"/>
        </w:rPr>
      </w:pPr>
      <w:r w:rsidRPr="00CC5655">
        <w:rPr>
          <w:b/>
          <w:lang w:val="ro-RO"/>
        </w:rPr>
        <w:t>AVIZE, ACORDURI, AUTORIZA</w:t>
      </w:r>
      <w:r w:rsidR="009C1C0D">
        <w:rPr>
          <w:b/>
          <w:lang w:val="ro-RO"/>
        </w:rPr>
        <w:t>Ț</w:t>
      </w:r>
      <w:r w:rsidRPr="00CC5655">
        <w:rPr>
          <w:b/>
          <w:lang w:val="ro-RO"/>
        </w:rPr>
        <w:t>II</w:t>
      </w:r>
    </w:p>
    <w:p w:rsidR="00FF3499" w:rsidRPr="00FD4A79" w:rsidRDefault="00FF3499" w:rsidP="00813468">
      <w:pPr>
        <w:ind w:left="284" w:right="-1"/>
        <w:jc w:val="both"/>
        <w:rPr>
          <w:b/>
          <w:color w:val="FF0000"/>
          <w:lang w:val="ro-RO"/>
        </w:rPr>
      </w:pPr>
    </w:p>
    <w:p w:rsidR="00D27BC6" w:rsidRPr="00FD4A79" w:rsidRDefault="009C1C0D" w:rsidP="00813468">
      <w:pPr>
        <w:ind w:left="284" w:right="-1" w:firstLine="720"/>
        <w:jc w:val="both"/>
        <w:rPr>
          <w:lang w:val="ro-RO"/>
        </w:rPr>
      </w:pPr>
      <w:r>
        <w:rPr>
          <w:lang w:val="ro-RO"/>
        </w:rPr>
        <w:t>Î</w:t>
      </w:r>
      <w:r w:rsidR="00D27BC6" w:rsidRPr="00FD4A79">
        <w:rPr>
          <w:lang w:val="ro-RO"/>
        </w:rPr>
        <w:t>n cadrul acestui serviciu se urm</w:t>
      </w:r>
      <w:r>
        <w:rPr>
          <w:lang w:val="ro-RO"/>
        </w:rPr>
        <w:t>ă</w:t>
      </w:r>
      <w:r w:rsidR="00D27BC6" w:rsidRPr="00FD4A79">
        <w:rPr>
          <w:lang w:val="ro-RO"/>
        </w:rPr>
        <w:t>re</w:t>
      </w:r>
      <w:r>
        <w:rPr>
          <w:lang w:val="ro-RO"/>
        </w:rPr>
        <w:t>ș</w:t>
      </w:r>
      <w:r w:rsidR="00D27BC6" w:rsidRPr="00FD4A79">
        <w:rPr>
          <w:lang w:val="ro-RO"/>
        </w:rPr>
        <w:t xml:space="preserve">te aplicarea procedurilor specifice </w:t>
      </w:r>
      <w:r>
        <w:rPr>
          <w:lang w:val="ro-RO"/>
        </w:rPr>
        <w:t>ș</w:t>
      </w:r>
      <w:r w:rsidR="00D27BC6" w:rsidRPr="00FD4A79">
        <w:rPr>
          <w:lang w:val="ro-RO"/>
        </w:rPr>
        <w:t>i a legisla</w:t>
      </w:r>
      <w:r>
        <w:rPr>
          <w:lang w:val="ro-RO"/>
        </w:rPr>
        <w:t>ț</w:t>
      </w:r>
      <w:r w:rsidR="00D27BC6" w:rsidRPr="00FD4A79">
        <w:rPr>
          <w:lang w:val="ro-RO"/>
        </w:rPr>
        <w:t xml:space="preserve">iei de mediu </w:t>
      </w:r>
      <w:r>
        <w:rPr>
          <w:lang w:val="ro-RO"/>
        </w:rPr>
        <w:t>î</w:t>
      </w:r>
      <w:r w:rsidR="00D27BC6" w:rsidRPr="00FD4A79">
        <w:rPr>
          <w:lang w:val="ro-RO"/>
        </w:rPr>
        <w:t xml:space="preserve">n vigoare, </w:t>
      </w:r>
      <w:r w:rsidR="005E0796">
        <w:rPr>
          <w:lang w:val="ro-RO"/>
        </w:rPr>
        <w:t>urmărindu-se permanent optimizarea activității</w:t>
      </w:r>
      <w:r w:rsidR="00D27BC6" w:rsidRPr="00FD4A79">
        <w:rPr>
          <w:lang w:val="ro-RO"/>
        </w:rPr>
        <w:t xml:space="preserve"> </w:t>
      </w:r>
      <w:r w:rsidR="005E0796">
        <w:rPr>
          <w:lang w:val="ro-RO"/>
        </w:rPr>
        <w:t>de emitere</w:t>
      </w:r>
      <w:r w:rsidR="00D27BC6" w:rsidRPr="00FD4A79">
        <w:rPr>
          <w:lang w:val="ro-RO"/>
        </w:rPr>
        <w:t xml:space="preserve"> de acte de reglementare</w:t>
      </w:r>
      <w:r w:rsidR="005E0796">
        <w:rPr>
          <w:lang w:val="ro-RO"/>
        </w:rPr>
        <w:t>:</w:t>
      </w:r>
      <w:r w:rsidR="00D27BC6" w:rsidRPr="00FD4A79">
        <w:rPr>
          <w:lang w:val="ro-RO"/>
        </w:rPr>
        <w:t xml:space="preserve"> avize de mediu, acorduri de mediu, autorizatii de mediu/ autorizatii integrate de mediu, obligatii de mediu, vize anuale</w:t>
      </w:r>
      <w:r w:rsidR="005E0796">
        <w:rPr>
          <w:lang w:val="ro-RO"/>
        </w:rPr>
        <w:t>.</w:t>
      </w:r>
    </w:p>
    <w:p w:rsidR="00D27BC6" w:rsidRPr="00FD4A79" w:rsidRDefault="00D27BC6" w:rsidP="00813468">
      <w:pPr>
        <w:ind w:left="284" w:right="-1"/>
        <w:jc w:val="both"/>
        <w:rPr>
          <w:lang w:val="ro-RO"/>
        </w:rPr>
      </w:pPr>
    </w:p>
    <w:p w:rsidR="00D27BC6" w:rsidRPr="00FD4A79" w:rsidRDefault="00D27BC6" w:rsidP="00813468">
      <w:pPr>
        <w:ind w:left="284" w:right="-1"/>
        <w:jc w:val="both"/>
        <w:rPr>
          <w:lang w:val="ro-RO"/>
        </w:rPr>
      </w:pPr>
      <w:r w:rsidRPr="00FD4A79">
        <w:rPr>
          <w:lang w:val="ro-RO"/>
        </w:rPr>
        <w:t xml:space="preserve">    </w:t>
      </w:r>
      <w:r w:rsidR="00CC5655">
        <w:rPr>
          <w:lang w:val="ro-RO"/>
        </w:rPr>
        <w:tab/>
      </w:r>
      <w:r w:rsidRPr="00FD4A79">
        <w:rPr>
          <w:lang w:val="ro-RO"/>
        </w:rPr>
        <w:t xml:space="preserve">In perioada </w:t>
      </w:r>
      <w:r w:rsidRPr="00FD4A79">
        <w:rPr>
          <w:b/>
          <w:lang w:val="ro-RO"/>
        </w:rPr>
        <w:t>01.01-01.11.2023</w:t>
      </w:r>
      <w:r w:rsidRPr="00FD4A79">
        <w:rPr>
          <w:lang w:val="ro-RO"/>
        </w:rPr>
        <w:t xml:space="preserve"> la Serviciul AAA a fost inregistrat un numar total de intrari de 7043 documente</w:t>
      </w:r>
      <w:r w:rsidR="00675F36" w:rsidRPr="00FD4A79">
        <w:rPr>
          <w:lang w:val="ro-RO"/>
        </w:rPr>
        <w:t xml:space="preserve"> (față de 6318 în 2022)</w:t>
      </w:r>
      <w:r w:rsidRPr="00FD4A79">
        <w:rPr>
          <w:lang w:val="ro-RO"/>
        </w:rPr>
        <w:t xml:space="preserve"> si au fost emise urmatoarele acte de reglementare :</w:t>
      </w:r>
    </w:p>
    <w:p w:rsidR="00D27BC6" w:rsidRPr="00FD4A79" w:rsidRDefault="00D27BC6" w:rsidP="00813468">
      <w:pPr>
        <w:ind w:left="284" w:right="-1"/>
        <w:jc w:val="both"/>
        <w:rPr>
          <w:lang w:val="ro-RO"/>
        </w:rPr>
      </w:pPr>
      <w:r w:rsidRPr="00FD4A79">
        <w:rPr>
          <w:lang w:val="ro-RO"/>
        </w:rPr>
        <w:t xml:space="preserve">-Acorduri de mediu pentru proiecte supuse evaluarii </w:t>
      </w:r>
      <w:r w:rsidR="00F90D4E">
        <w:rPr>
          <w:lang w:val="ro-RO"/>
        </w:rPr>
        <w:t>impactului asupra mediului</w:t>
      </w:r>
      <w:r w:rsidRPr="00FD4A79">
        <w:rPr>
          <w:lang w:val="ro-RO"/>
        </w:rPr>
        <w:t>:13</w:t>
      </w:r>
      <w:r w:rsidR="003C2961" w:rsidRPr="00FD4A79">
        <w:rPr>
          <w:lang w:val="ro-RO"/>
        </w:rPr>
        <w:t xml:space="preserve"> (față de 4 în 2022)</w:t>
      </w:r>
    </w:p>
    <w:p w:rsidR="00D27BC6" w:rsidRPr="00FD4A79" w:rsidRDefault="00F90D4E" w:rsidP="00813468">
      <w:pPr>
        <w:ind w:left="284" w:right="-1"/>
        <w:jc w:val="both"/>
        <w:rPr>
          <w:lang w:val="ro-RO"/>
        </w:rPr>
      </w:pPr>
      <w:r>
        <w:rPr>
          <w:lang w:val="ro-RO"/>
        </w:rPr>
        <w:lastRenderedPageBreak/>
        <w:t>-Autorizatii de mediu</w:t>
      </w:r>
      <w:r w:rsidR="00D27BC6" w:rsidRPr="00FD4A79">
        <w:rPr>
          <w:lang w:val="ro-RO"/>
        </w:rPr>
        <w:t>: 263</w:t>
      </w:r>
      <w:r w:rsidR="003C2961" w:rsidRPr="00FD4A79">
        <w:rPr>
          <w:lang w:val="ro-RO"/>
        </w:rPr>
        <w:t xml:space="preserve"> (față de 194 în 2022)</w:t>
      </w:r>
    </w:p>
    <w:p w:rsidR="00D82C3F" w:rsidRPr="00FD4A79" w:rsidRDefault="00D27BC6" w:rsidP="00813468">
      <w:pPr>
        <w:ind w:left="284" w:right="-1"/>
        <w:jc w:val="both"/>
        <w:rPr>
          <w:lang w:val="ro-RO"/>
        </w:rPr>
      </w:pPr>
      <w:r w:rsidRPr="00FD4A79">
        <w:rPr>
          <w:lang w:val="ro-RO"/>
        </w:rPr>
        <w:t>-Autorizatii integrate de mediu: 2</w:t>
      </w:r>
      <w:r w:rsidR="00D82C3F" w:rsidRPr="00FD4A79">
        <w:rPr>
          <w:lang w:val="ro-RO"/>
        </w:rPr>
        <w:t xml:space="preserve"> (față de 3 în 2022)</w:t>
      </w:r>
    </w:p>
    <w:p w:rsidR="00E75DB0" w:rsidRPr="00FD4A79" w:rsidRDefault="00D27BC6" w:rsidP="00813468">
      <w:pPr>
        <w:ind w:left="284" w:right="-1"/>
        <w:jc w:val="both"/>
        <w:rPr>
          <w:lang w:val="ro-RO"/>
        </w:rPr>
      </w:pPr>
      <w:r w:rsidRPr="00FD4A79">
        <w:rPr>
          <w:lang w:val="ro-RO"/>
        </w:rPr>
        <w:t>-Revizuiri autorizatii integrate de mediu: 6</w:t>
      </w:r>
      <w:r w:rsidR="00E75DB0" w:rsidRPr="00FD4A79">
        <w:rPr>
          <w:lang w:val="ro-RO"/>
        </w:rPr>
        <w:t xml:space="preserve"> (față de 13 în 2022)</w:t>
      </w:r>
    </w:p>
    <w:p w:rsidR="00D27BC6" w:rsidRPr="00FD4A79" w:rsidRDefault="00F90D4E" w:rsidP="00813468">
      <w:pPr>
        <w:ind w:left="284" w:right="-1"/>
        <w:jc w:val="both"/>
        <w:rPr>
          <w:lang w:val="ro-RO"/>
        </w:rPr>
      </w:pPr>
      <w:r>
        <w:rPr>
          <w:lang w:val="ro-RO"/>
        </w:rPr>
        <w:t>-Revizuiri autorizatii de mediu</w:t>
      </w:r>
      <w:r w:rsidR="00D27BC6" w:rsidRPr="00FD4A79">
        <w:rPr>
          <w:lang w:val="ro-RO"/>
        </w:rPr>
        <w:t>: 230</w:t>
      </w:r>
      <w:r w:rsidR="003C2961" w:rsidRPr="00FD4A79">
        <w:rPr>
          <w:lang w:val="ro-RO"/>
        </w:rPr>
        <w:t xml:space="preserve"> (față de 311 în 2022)</w:t>
      </w:r>
    </w:p>
    <w:p w:rsidR="00E75DB0" w:rsidRPr="00FD4A79" w:rsidRDefault="00D27BC6" w:rsidP="00813468">
      <w:pPr>
        <w:ind w:left="284" w:right="-1"/>
        <w:jc w:val="both"/>
        <w:rPr>
          <w:lang w:val="ro-RO"/>
        </w:rPr>
      </w:pPr>
      <w:r w:rsidRPr="00FD4A79">
        <w:rPr>
          <w:lang w:val="ro-RO"/>
        </w:rPr>
        <w:t>-Clasari de notificari pentru proiecte cu impact nesemnificativ asupra mediului: 1708</w:t>
      </w:r>
      <w:r w:rsidR="00E75DB0" w:rsidRPr="00FD4A79">
        <w:rPr>
          <w:lang w:val="ro-RO"/>
        </w:rPr>
        <w:t xml:space="preserve"> (față de 1370 în 2022)</w:t>
      </w:r>
    </w:p>
    <w:p w:rsidR="00F361C4" w:rsidRPr="00FD4A79" w:rsidRDefault="00D27BC6" w:rsidP="00813468">
      <w:pPr>
        <w:ind w:left="284" w:right="-1"/>
        <w:jc w:val="both"/>
        <w:rPr>
          <w:lang w:val="ro-RO"/>
        </w:rPr>
      </w:pPr>
      <w:r w:rsidRPr="00FD4A79">
        <w:rPr>
          <w:lang w:val="ro-RO"/>
        </w:rPr>
        <w:t xml:space="preserve">-Decizii etape de incadrare pentru proiecte </w:t>
      </w:r>
      <w:r w:rsidR="00F90D4E">
        <w:rPr>
          <w:lang w:val="ro-RO"/>
        </w:rPr>
        <w:t>cu impact redus asupra mediului</w:t>
      </w:r>
      <w:r w:rsidRPr="00FD4A79">
        <w:rPr>
          <w:lang w:val="ro-RO"/>
        </w:rPr>
        <w:t>: 457</w:t>
      </w:r>
      <w:r w:rsidR="00F361C4" w:rsidRPr="00FD4A79">
        <w:rPr>
          <w:lang w:val="ro-RO"/>
        </w:rPr>
        <w:t xml:space="preserve"> (față de 506 în 2022)</w:t>
      </w:r>
    </w:p>
    <w:p w:rsidR="00F361C4" w:rsidRPr="00FD4A79" w:rsidRDefault="00D27BC6" w:rsidP="00813468">
      <w:pPr>
        <w:ind w:left="284" w:right="-1"/>
        <w:jc w:val="both"/>
        <w:rPr>
          <w:lang w:val="ro-RO"/>
        </w:rPr>
      </w:pPr>
      <w:r w:rsidRPr="00FD4A79">
        <w:rPr>
          <w:lang w:val="ro-RO"/>
        </w:rPr>
        <w:t>-Notificari si avize PUG/PUZ/PUD: 87</w:t>
      </w:r>
      <w:r w:rsidR="00F361C4" w:rsidRPr="00FD4A79">
        <w:rPr>
          <w:lang w:val="ro-RO"/>
        </w:rPr>
        <w:t xml:space="preserve"> (față de 106 în 2022)</w:t>
      </w:r>
    </w:p>
    <w:p w:rsidR="00F361C4" w:rsidRPr="00FD4A79" w:rsidRDefault="00D27BC6" w:rsidP="00813468">
      <w:pPr>
        <w:ind w:left="284" w:right="-1"/>
        <w:jc w:val="both"/>
        <w:rPr>
          <w:lang w:val="ro-RO"/>
        </w:rPr>
      </w:pPr>
      <w:r w:rsidRPr="00FD4A79">
        <w:rPr>
          <w:lang w:val="ro-RO"/>
        </w:rPr>
        <w:t>-Obligatii de mediu la vanzare active, i</w:t>
      </w:r>
      <w:r w:rsidR="00F90D4E">
        <w:rPr>
          <w:lang w:val="ro-RO"/>
        </w:rPr>
        <w:t>ncetare activitate, fuziune,etc</w:t>
      </w:r>
      <w:r w:rsidRPr="00FD4A79">
        <w:rPr>
          <w:lang w:val="ro-RO"/>
        </w:rPr>
        <w:t>: 74</w:t>
      </w:r>
      <w:r w:rsidR="00F361C4" w:rsidRPr="00FD4A79">
        <w:rPr>
          <w:lang w:val="ro-RO"/>
        </w:rPr>
        <w:t xml:space="preserve"> (față de 59 în 2022)</w:t>
      </w:r>
    </w:p>
    <w:p w:rsidR="00F361C4" w:rsidRPr="00FD4A79" w:rsidRDefault="00D27BC6" w:rsidP="00813468">
      <w:pPr>
        <w:ind w:left="284" w:right="-1"/>
        <w:jc w:val="both"/>
        <w:rPr>
          <w:lang w:val="ro-RO"/>
        </w:rPr>
      </w:pPr>
      <w:r w:rsidRPr="00FD4A79">
        <w:rPr>
          <w:lang w:val="ro-RO"/>
        </w:rPr>
        <w:t>-vize anuale autorizatii de mediu:1456</w:t>
      </w:r>
      <w:r w:rsidR="00F361C4" w:rsidRPr="00FD4A79">
        <w:rPr>
          <w:lang w:val="ro-RO"/>
        </w:rPr>
        <w:t xml:space="preserve"> (față de 1207 în 2022)</w:t>
      </w:r>
    </w:p>
    <w:p w:rsidR="00D27BC6" w:rsidRPr="00FD4A79" w:rsidRDefault="00D27BC6" w:rsidP="00813468">
      <w:pPr>
        <w:ind w:left="284" w:right="-1"/>
        <w:jc w:val="both"/>
        <w:rPr>
          <w:lang w:val="ro-RO"/>
        </w:rPr>
      </w:pPr>
    </w:p>
    <w:p w:rsidR="00D27BC6" w:rsidRPr="00FD4A79" w:rsidRDefault="00D27BC6" w:rsidP="00813468">
      <w:pPr>
        <w:ind w:left="284" w:right="-1"/>
        <w:jc w:val="both"/>
        <w:rPr>
          <w:lang w:val="ro-RO"/>
        </w:rPr>
      </w:pPr>
      <w:r w:rsidRPr="00FD4A79">
        <w:rPr>
          <w:lang w:val="ro-RO"/>
        </w:rPr>
        <w:t xml:space="preserve">        In aceeasi perioada </w:t>
      </w:r>
      <w:r w:rsidRPr="005E0796">
        <w:rPr>
          <w:b/>
          <w:lang w:val="ro-RO"/>
        </w:rPr>
        <w:t>s-au desfasurat  18 dezbateri publice</w:t>
      </w:r>
      <w:r w:rsidRPr="00FD4A79">
        <w:rPr>
          <w:lang w:val="ro-RO"/>
        </w:rPr>
        <w:t xml:space="preserve"> in procedurile de emitere acte de reglementare  (acorduri si autorizatii/autorizatii integrate de mediu, avize de mediu). </w:t>
      </w:r>
    </w:p>
    <w:p w:rsidR="00D27BC6" w:rsidRPr="00FD4A79" w:rsidRDefault="00D27BC6" w:rsidP="00813468">
      <w:pPr>
        <w:ind w:left="284" w:right="-1"/>
        <w:jc w:val="both"/>
        <w:rPr>
          <w:lang w:val="ro-RO"/>
        </w:rPr>
      </w:pPr>
    </w:p>
    <w:p w:rsidR="00D27BC6" w:rsidRPr="00FD4A79" w:rsidRDefault="00D27BC6" w:rsidP="00813468">
      <w:pPr>
        <w:ind w:left="284" w:right="-1"/>
        <w:jc w:val="both"/>
        <w:rPr>
          <w:lang w:val="ro-RO"/>
        </w:rPr>
      </w:pPr>
      <w:r w:rsidRPr="00FD4A79">
        <w:rPr>
          <w:lang w:val="ro-RO"/>
        </w:rPr>
        <w:t xml:space="preserve">        Au fost întocmite aprox. </w:t>
      </w:r>
      <w:r w:rsidRPr="005E0796">
        <w:rPr>
          <w:b/>
          <w:lang w:val="ro-RO"/>
        </w:rPr>
        <w:t>110 îndrumare/precizãri</w:t>
      </w:r>
      <w:r w:rsidRPr="00FD4A79">
        <w:rPr>
          <w:lang w:val="ro-RO"/>
        </w:rPr>
        <w:t xml:space="preserve"> scrise în vederea emiterii acestor acte de reglementare.</w:t>
      </w:r>
    </w:p>
    <w:p w:rsidR="00D27BC6" w:rsidRPr="00FD4A79" w:rsidRDefault="00D27BC6" w:rsidP="00813468">
      <w:pPr>
        <w:ind w:left="284" w:right="-1"/>
        <w:jc w:val="both"/>
        <w:rPr>
          <w:lang w:val="ro-RO"/>
        </w:rPr>
      </w:pPr>
    </w:p>
    <w:p w:rsidR="00D27BC6" w:rsidRPr="00FD4A79" w:rsidRDefault="00D27BC6" w:rsidP="00813468">
      <w:pPr>
        <w:ind w:left="284" w:right="-1"/>
        <w:jc w:val="both"/>
        <w:rPr>
          <w:lang w:val="ro-RO"/>
        </w:rPr>
      </w:pPr>
      <w:r w:rsidRPr="00FD4A79">
        <w:rPr>
          <w:lang w:val="ro-RO"/>
        </w:rPr>
        <w:t xml:space="preserve">        Au fost efectuate in aceasta perioada aproximativ </w:t>
      </w:r>
      <w:r w:rsidRPr="005E0796">
        <w:rPr>
          <w:b/>
          <w:lang w:val="ro-RO"/>
        </w:rPr>
        <w:t xml:space="preserve">500 </w:t>
      </w:r>
      <w:r w:rsidR="00F361C4" w:rsidRPr="005E0796">
        <w:rPr>
          <w:b/>
          <w:lang w:val="ro-RO"/>
        </w:rPr>
        <w:t xml:space="preserve">(față de 395 în 2022) </w:t>
      </w:r>
      <w:r w:rsidRPr="005E0796">
        <w:rPr>
          <w:b/>
          <w:lang w:val="ro-RO"/>
        </w:rPr>
        <w:t xml:space="preserve">de verificari in teren </w:t>
      </w:r>
      <w:r w:rsidRPr="00FD4A79">
        <w:rPr>
          <w:lang w:val="ro-RO"/>
        </w:rPr>
        <w:t>in procedurile de reglementare.</w:t>
      </w:r>
    </w:p>
    <w:p w:rsidR="00D27BC6" w:rsidRPr="00FD4A79" w:rsidRDefault="00D27BC6" w:rsidP="00813468">
      <w:pPr>
        <w:ind w:left="284" w:right="-1"/>
        <w:jc w:val="both"/>
        <w:rPr>
          <w:lang w:val="ro-RO"/>
        </w:rPr>
      </w:pPr>
    </w:p>
    <w:p w:rsidR="00D27BC6" w:rsidRPr="00FD4A79" w:rsidRDefault="00D27BC6" w:rsidP="00813468">
      <w:pPr>
        <w:ind w:left="284" w:right="-1"/>
        <w:jc w:val="both"/>
        <w:rPr>
          <w:lang w:val="ro-RO"/>
        </w:rPr>
      </w:pPr>
      <w:r w:rsidRPr="00FD4A79">
        <w:rPr>
          <w:lang w:val="ro-RO"/>
        </w:rPr>
        <w:t xml:space="preserve">        De asemenea, pentru cei care  au depus documentaţii pentru accesarea de fonduri s-au emis de catre serviciul AAA in aceasta perioada </w:t>
      </w:r>
      <w:r w:rsidRPr="005E0796">
        <w:rPr>
          <w:b/>
          <w:lang w:val="ro-RO"/>
        </w:rPr>
        <w:t>147 clasari de notificari cu finantare AFIR</w:t>
      </w:r>
      <w:r w:rsidRPr="00FD4A79">
        <w:rPr>
          <w:lang w:val="ro-RO"/>
        </w:rPr>
        <w:t>.</w:t>
      </w:r>
    </w:p>
    <w:p w:rsidR="00D27BC6" w:rsidRPr="00FD4A79" w:rsidRDefault="00D27BC6" w:rsidP="00813468">
      <w:pPr>
        <w:ind w:left="284" w:right="-1"/>
        <w:jc w:val="both"/>
        <w:rPr>
          <w:lang w:val="ro-RO"/>
        </w:rPr>
      </w:pPr>
    </w:p>
    <w:p w:rsidR="00D27BC6" w:rsidRPr="00FD4A79" w:rsidRDefault="00D27BC6" w:rsidP="00813468">
      <w:pPr>
        <w:ind w:left="284" w:right="-1"/>
        <w:jc w:val="both"/>
        <w:rPr>
          <w:lang w:val="ro-RO"/>
        </w:rPr>
      </w:pPr>
      <w:r w:rsidRPr="00FD4A79">
        <w:rPr>
          <w:lang w:val="ro-RO"/>
        </w:rPr>
        <w:t xml:space="preserve">        Comisia de Analiză Tehnică a documentaţiilor pentru obţinerea acordului, autorizaţiei/autorizatiei integrate de mediu, revizuirea autorizatiei/autorizatiei integrate de mediu la  obiectivele cu impact asupra mediului şi care necesită evaluarea impactului, respectiv bilanţul de mediu, constituita pe baza  ordinelor succesive ale Prefectului Judeţului Prahova, s-a întrunit  î</w:t>
      </w:r>
      <w:r w:rsidR="003C1ABC">
        <w:rPr>
          <w:lang w:val="ro-RO"/>
        </w:rPr>
        <w:t>n aceasta perioada de 44 de ori</w:t>
      </w:r>
      <w:r w:rsidRPr="00FD4A79">
        <w:rPr>
          <w:lang w:val="ro-RO"/>
        </w:rPr>
        <w:t>.</w:t>
      </w:r>
    </w:p>
    <w:p w:rsidR="00D27BC6" w:rsidRPr="00FD4A79" w:rsidRDefault="00D27BC6" w:rsidP="00813468">
      <w:pPr>
        <w:ind w:left="284" w:right="-1"/>
        <w:jc w:val="both"/>
        <w:rPr>
          <w:lang w:val="ro-RO"/>
        </w:rPr>
      </w:pPr>
    </w:p>
    <w:p w:rsidR="00D27BC6" w:rsidRPr="00FD4A79" w:rsidRDefault="00D27BC6" w:rsidP="00813468">
      <w:pPr>
        <w:ind w:left="284" w:right="-1"/>
        <w:jc w:val="both"/>
        <w:rPr>
          <w:b/>
          <w:lang w:val="ro-RO"/>
        </w:rPr>
      </w:pPr>
      <w:r w:rsidRPr="00FD4A79">
        <w:rPr>
          <w:b/>
          <w:lang w:val="ro-RO"/>
        </w:rPr>
        <w:t>Au fost efectuate Raportarile anuale in aplicatiile SIM pentru Instalatiile IPPC-EPRTR</w:t>
      </w:r>
      <w:r w:rsidR="005E0796">
        <w:rPr>
          <w:b/>
          <w:lang w:val="ro-RO"/>
        </w:rPr>
        <w:t xml:space="preserve"> </w:t>
      </w:r>
      <w:r w:rsidRPr="00FD4A79">
        <w:rPr>
          <w:b/>
          <w:lang w:val="ro-RO"/>
        </w:rPr>
        <w:t>(Directiva Emisii Industriale) si Instalatiile sub incidenta COV</w:t>
      </w:r>
      <w:r w:rsidR="00E1676D">
        <w:rPr>
          <w:b/>
          <w:lang w:val="ro-RO"/>
        </w:rPr>
        <w:t xml:space="preserve"> </w:t>
      </w:r>
      <w:r w:rsidRPr="00FD4A79">
        <w:rPr>
          <w:b/>
          <w:lang w:val="ro-RO"/>
        </w:rPr>
        <w:t>( compusi organici volatili) din solventi.</w:t>
      </w:r>
    </w:p>
    <w:p w:rsidR="00D27BC6" w:rsidRPr="00FD4A79" w:rsidRDefault="00D27BC6" w:rsidP="00813468">
      <w:pPr>
        <w:ind w:left="284" w:right="-1"/>
        <w:jc w:val="both"/>
        <w:rPr>
          <w:b/>
          <w:lang w:val="ro-RO"/>
        </w:rPr>
      </w:pPr>
      <w:r w:rsidRPr="00FD4A79">
        <w:rPr>
          <w:b/>
          <w:lang w:val="ro-RO"/>
        </w:rPr>
        <w:t>S-au efectuat raportarile trimestriale privind emisiile rezultate din instalatiile mari de ardere din judetul Prahova.</w:t>
      </w:r>
    </w:p>
    <w:p w:rsidR="00D27BC6" w:rsidRPr="00FD4A79" w:rsidRDefault="00D27BC6" w:rsidP="00813468">
      <w:pPr>
        <w:ind w:left="284" w:right="-1"/>
        <w:jc w:val="both"/>
        <w:rPr>
          <w:b/>
          <w:lang w:val="ro-RO"/>
        </w:rPr>
      </w:pPr>
    </w:p>
    <w:p w:rsidR="00D27BC6" w:rsidRPr="00FD4A79" w:rsidRDefault="00D27BC6" w:rsidP="00813468">
      <w:pPr>
        <w:ind w:left="284" w:right="-1"/>
        <w:jc w:val="both"/>
        <w:rPr>
          <w:b/>
          <w:lang w:val="ro-RO"/>
        </w:rPr>
      </w:pPr>
    </w:p>
    <w:p w:rsidR="00272771" w:rsidRPr="009228F8" w:rsidRDefault="00272771" w:rsidP="00813468">
      <w:pPr>
        <w:ind w:left="284" w:right="-1"/>
        <w:jc w:val="both"/>
        <w:rPr>
          <w:b/>
          <w:lang w:val="ro-RO"/>
        </w:rPr>
      </w:pPr>
      <w:r w:rsidRPr="009228F8">
        <w:rPr>
          <w:b/>
          <w:lang w:val="ro-RO"/>
        </w:rPr>
        <w:t>CALITATEA FACTORILOR DE MEDIU</w:t>
      </w:r>
    </w:p>
    <w:p w:rsidR="00272771" w:rsidRPr="00FD4A79" w:rsidRDefault="00272771" w:rsidP="00813468">
      <w:pPr>
        <w:ind w:left="284" w:right="-1"/>
        <w:jc w:val="both"/>
        <w:rPr>
          <w:b/>
          <w:color w:val="FF0000"/>
          <w:lang w:val="ro-RO"/>
        </w:rPr>
      </w:pPr>
    </w:p>
    <w:p w:rsidR="00272771" w:rsidRPr="00FD4A79" w:rsidRDefault="00D2334A" w:rsidP="00813468">
      <w:pPr>
        <w:ind w:left="284" w:right="-1"/>
        <w:jc w:val="both"/>
        <w:rPr>
          <w:b/>
          <w:lang w:val="ro-RO"/>
        </w:rPr>
      </w:pPr>
      <w:r w:rsidRPr="00FD4A79">
        <w:rPr>
          <w:b/>
          <w:lang w:val="ro-RO"/>
        </w:rPr>
        <w:t>Domeniul Biodiversitate</w:t>
      </w:r>
    </w:p>
    <w:p w:rsidR="00C1692C" w:rsidRPr="005E0796" w:rsidRDefault="005E0796" w:rsidP="005E0796">
      <w:pPr>
        <w:spacing w:after="160" w:line="259" w:lineRule="auto"/>
        <w:ind w:right="-1" w:firstLine="284"/>
        <w:jc w:val="both"/>
        <w:rPr>
          <w:b/>
        </w:rPr>
      </w:pPr>
      <w:r w:rsidRPr="005E0796">
        <w:t xml:space="preserve">S-a </w:t>
      </w:r>
      <w:proofErr w:type="spellStart"/>
      <w:r w:rsidR="00384A1F" w:rsidRPr="005E0796">
        <w:t>p</w:t>
      </w:r>
      <w:r w:rsidR="00C1692C" w:rsidRPr="005E0796">
        <w:t>articipa</w:t>
      </w:r>
      <w:r w:rsidRPr="005E0796">
        <w:t>t</w:t>
      </w:r>
      <w:proofErr w:type="spellEnd"/>
      <w:r w:rsidR="00C1692C" w:rsidRPr="005E0796">
        <w:t xml:space="preserve"> </w:t>
      </w:r>
      <w:proofErr w:type="spellStart"/>
      <w:r w:rsidR="00C1692C" w:rsidRPr="005E0796">
        <w:t>în</w:t>
      </w:r>
      <w:proofErr w:type="spellEnd"/>
      <w:r w:rsidR="00C1692C" w:rsidRPr="005E0796">
        <w:t xml:space="preserve"> </w:t>
      </w:r>
      <w:proofErr w:type="spellStart"/>
      <w:r w:rsidR="00C1692C" w:rsidRPr="005E0796">
        <w:t>comisia</w:t>
      </w:r>
      <w:proofErr w:type="spellEnd"/>
      <w:r w:rsidR="00C1692C" w:rsidRPr="005E0796">
        <w:t xml:space="preserve"> </w:t>
      </w:r>
      <w:proofErr w:type="spellStart"/>
      <w:r w:rsidR="00C1692C" w:rsidRPr="005E0796">
        <w:t>constituită</w:t>
      </w:r>
      <w:proofErr w:type="spellEnd"/>
      <w:r w:rsidR="00C1692C" w:rsidRPr="005E0796">
        <w:t xml:space="preserve"> conform </w:t>
      </w:r>
      <w:r w:rsidR="00C1692C" w:rsidRPr="005E0796">
        <w:rPr>
          <w:i/>
        </w:rPr>
        <w:t xml:space="preserve">HG nr. </w:t>
      </w:r>
      <w:r w:rsidR="00AF1425" w:rsidRPr="005E0796">
        <w:rPr>
          <w:i/>
        </w:rPr>
        <w:t>3/2023</w:t>
      </w:r>
      <w:r w:rsidR="00C1692C" w:rsidRPr="005E0796">
        <w:rPr>
          <w:i/>
        </w:rPr>
        <w:t xml:space="preserve"> </w:t>
      </w:r>
      <w:proofErr w:type="spellStart"/>
      <w:r w:rsidR="00C1692C" w:rsidRPr="005E0796">
        <w:rPr>
          <w:rStyle w:val="spar"/>
          <w:i/>
          <w:color w:val="000000"/>
        </w:rPr>
        <w:t>privind</w:t>
      </w:r>
      <w:proofErr w:type="spellEnd"/>
      <w:r w:rsidR="00C1692C" w:rsidRPr="005E0796">
        <w:rPr>
          <w:rStyle w:val="spar"/>
          <w:i/>
          <w:color w:val="000000"/>
        </w:rPr>
        <w:t xml:space="preserve"> </w:t>
      </w:r>
      <w:proofErr w:type="spellStart"/>
      <w:r w:rsidR="00C1692C" w:rsidRPr="005E0796">
        <w:rPr>
          <w:rStyle w:val="spar"/>
          <w:i/>
          <w:color w:val="000000"/>
        </w:rPr>
        <w:t>modalitatea</w:t>
      </w:r>
      <w:proofErr w:type="spellEnd"/>
      <w:r w:rsidR="00C1692C" w:rsidRPr="005E0796">
        <w:rPr>
          <w:rStyle w:val="spar"/>
          <w:i/>
          <w:color w:val="000000"/>
        </w:rPr>
        <w:t xml:space="preserve"> de </w:t>
      </w:r>
      <w:proofErr w:type="spellStart"/>
      <w:r w:rsidR="00C1692C" w:rsidRPr="005E0796">
        <w:rPr>
          <w:rStyle w:val="spar"/>
          <w:i/>
          <w:color w:val="000000"/>
        </w:rPr>
        <w:t>acordare</w:t>
      </w:r>
      <w:proofErr w:type="spellEnd"/>
      <w:r w:rsidR="00C1692C" w:rsidRPr="005E0796">
        <w:rPr>
          <w:rStyle w:val="spar"/>
          <w:i/>
          <w:color w:val="000000"/>
        </w:rPr>
        <w:t xml:space="preserve"> a </w:t>
      </w:r>
      <w:proofErr w:type="spellStart"/>
      <w:r w:rsidR="00C1692C" w:rsidRPr="005E0796">
        <w:rPr>
          <w:rStyle w:val="spar"/>
          <w:i/>
          <w:color w:val="000000"/>
        </w:rPr>
        <w:t>despăgubirilor</w:t>
      </w:r>
      <w:proofErr w:type="spellEnd"/>
      <w:r w:rsidR="00C1692C" w:rsidRPr="005E0796">
        <w:rPr>
          <w:rStyle w:val="spar"/>
          <w:i/>
          <w:color w:val="000000"/>
        </w:rPr>
        <w:t xml:space="preserve"> </w:t>
      </w:r>
      <w:proofErr w:type="spellStart"/>
      <w:r w:rsidR="00C1692C" w:rsidRPr="005E0796">
        <w:rPr>
          <w:rStyle w:val="spar"/>
          <w:i/>
          <w:color w:val="000000"/>
        </w:rPr>
        <w:t>prevăzute</w:t>
      </w:r>
      <w:proofErr w:type="spellEnd"/>
      <w:r w:rsidR="00C1692C" w:rsidRPr="005E0796">
        <w:rPr>
          <w:rStyle w:val="spar"/>
          <w:i/>
          <w:color w:val="000000"/>
        </w:rPr>
        <w:t xml:space="preserve"> de </w:t>
      </w:r>
      <w:proofErr w:type="spellStart"/>
      <w:r w:rsidR="00C1692C" w:rsidRPr="005E0796">
        <w:rPr>
          <w:i/>
        </w:rPr>
        <w:t>Legea</w:t>
      </w:r>
      <w:proofErr w:type="spellEnd"/>
      <w:r w:rsidR="00C1692C" w:rsidRPr="005E0796">
        <w:rPr>
          <w:i/>
        </w:rPr>
        <w:t xml:space="preserve"> </w:t>
      </w:r>
      <w:proofErr w:type="spellStart"/>
      <w:r w:rsidR="00C1692C" w:rsidRPr="005E0796">
        <w:rPr>
          <w:i/>
        </w:rPr>
        <w:t>vânătorii</w:t>
      </w:r>
      <w:proofErr w:type="spellEnd"/>
      <w:r w:rsidR="00C1692C" w:rsidRPr="005E0796">
        <w:rPr>
          <w:i/>
        </w:rPr>
        <w:t xml:space="preserve"> </w:t>
      </w:r>
      <w:proofErr w:type="spellStart"/>
      <w:r w:rsidR="00C1692C" w:rsidRPr="005E0796">
        <w:rPr>
          <w:i/>
        </w:rPr>
        <w:t>şi</w:t>
      </w:r>
      <w:proofErr w:type="spellEnd"/>
      <w:r w:rsidR="00C1692C" w:rsidRPr="005E0796">
        <w:rPr>
          <w:i/>
        </w:rPr>
        <w:t xml:space="preserve"> a </w:t>
      </w:r>
      <w:proofErr w:type="spellStart"/>
      <w:r w:rsidR="00C1692C" w:rsidRPr="005E0796">
        <w:rPr>
          <w:i/>
        </w:rPr>
        <w:t>protecţiei</w:t>
      </w:r>
      <w:proofErr w:type="spellEnd"/>
      <w:r w:rsidR="00C1692C" w:rsidRPr="005E0796">
        <w:rPr>
          <w:i/>
        </w:rPr>
        <w:t xml:space="preserve"> </w:t>
      </w:r>
      <w:proofErr w:type="spellStart"/>
      <w:r w:rsidR="00C1692C" w:rsidRPr="005E0796">
        <w:rPr>
          <w:i/>
        </w:rPr>
        <w:t>fondului</w:t>
      </w:r>
      <w:proofErr w:type="spellEnd"/>
      <w:r w:rsidR="00C1692C" w:rsidRPr="005E0796">
        <w:rPr>
          <w:i/>
        </w:rPr>
        <w:t xml:space="preserve"> </w:t>
      </w:r>
      <w:proofErr w:type="spellStart"/>
      <w:r w:rsidR="00C1692C" w:rsidRPr="005E0796">
        <w:rPr>
          <w:i/>
        </w:rPr>
        <w:t>cinegetic</w:t>
      </w:r>
      <w:proofErr w:type="spellEnd"/>
      <w:r w:rsidR="00C1692C" w:rsidRPr="005E0796">
        <w:rPr>
          <w:i/>
        </w:rPr>
        <w:t xml:space="preserve"> nr. 407/2006</w:t>
      </w:r>
      <w:r w:rsidR="00C1692C" w:rsidRPr="005E0796">
        <w:rPr>
          <w:rStyle w:val="spar"/>
          <w:i/>
          <w:u w:val="single"/>
        </w:rPr>
        <w:t xml:space="preserve">, </w:t>
      </w:r>
      <w:proofErr w:type="spellStart"/>
      <w:r w:rsidR="00C1692C" w:rsidRPr="005E0796">
        <w:rPr>
          <w:rStyle w:val="spar"/>
          <w:i/>
          <w:color w:val="000000"/>
        </w:rPr>
        <w:t>precum</w:t>
      </w:r>
      <w:proofErr w:type="spellEnd"/>
      <w:r w:rsidR="00C1692C" w:rsidRPr="005E0796">
        <w:rPr>
          <w:rStyle w:val="spar"/>
          <w:i/>
          <w:color w:val="000000"/>
        </w:rPr>
        <w:t xml:space="preserve"> </w:t>
      </w:r>
      <w:proofErr w:type="spellStart"/>
      <w:r w:rsidR="00C1692C" w:rsidRPr="005E0796">
        <w:rPr>
          <w:rStyle w:val="spar"/>
          <w:i/>
          <w:color w:val="000000"/>
        </w:rPr>
        <w:t>şi</w:t>
      </w:r>
      <w:proofErr w:type="spellEnd"/>
      <w:r w:rsidR="00C1692C" w:rsidRPr="005E0796">
        <w:rPr>
          <w:rStyle w:val="spar"/>
          <w:i/>
          <w:color w:val="000000"/>
        </w:rPr>
        <w:t xml:space="preserve"> </w:t>
      </w:r>
      <w:proofErr w:type="spellStart"/>
      <w:r w:rsidR="00C1692C" w:rsidRPr="005E0796">
        <w:rPr>
          <w:rStyle w:val="spar"/>
          <w:i/>
          <w:color w:val="000000"/>
        </w:rPr>
        <w:t>obligaţiile</w:t>
      </w:r>
      <w:proofErr w:type="spellEnd"/>
      <w:r w:rsidR="00C1692C" w:rsidRPr="005E0796">
        <w:rPr>
          <w:rStyle w:val="spar"/>
          <w:i/>
          <w:color w:val="000000"/>
        </w:rPr>
        <w:t xml:space="preserve"> </w:t>
      </w:r>
      <w:proofErr w:type="spellStart"/>
      <w:r w:rsidR="00C1692C" w:rsidRPr="005E0796">
        <w:rPr>
          <w:rStyle w:val="spar"/>
          <w:i/>
          <w:color w:val="000000"/>
        </w:rPr>
        <w:t>ce</w:t>
      </w:r>
      <w:proofErr w:type="spellEnd"/>
      <w:r w:rsidR="00C1692C" w:rsidRPr="005E0796">
        <w:rPr>
          <w:rStyle w:val="spar"/>
          <w:i/>
          <w:color w:val="000000"/>
        </w:rPr>
        <w:t xml:space="preserve"> </w:t>
      </w:r>
      <w:proofErr w:type="spellStart"/>
      <w:r w:rsidR="00C1692C" w:rsidRPr="005E0796">
        <w:rPr>
          <w:rStyle w:val="spar"/>
          <w:i/>
          <w:color w:val="000000"/>
        </w:rPr>
        <w:t>revin</w:t>
      </w:r>
      <w:proofErr w:type="spellEnd"/>
      <w:r w:rsidR="00C1692C" w:rsidRPr="005E0796">
        <w:rPr>
          <w:rStyle w:val="spar"/>
          <w:i/>
          <w:color w:val="000000"/>
        </w:rPr>
        <w:t xml:space="preserve"> </w:t>
      </w:r>
      <w:proofErr w:type="spellStart"/>
      <w:r w:rsidR="00C1692C" w:rsidRPr="005E0796">
        <w:rPr>
          <w:rStyle w:val="spar"/>
          <w:i/>
          <w:color w:val="000000"/>
        </w:rPr>
        <w:t>gestionarilor</w:t>
      </w:r>
      <w:proofErr w:type="spellEnd"/>
      <w:r w:rsidR="00C1692C" w:rsidRPr="005E0796">
        <w:rPr>
          <w:rStyle w:val="spar"/>
          <w:i/>
          <w:color w:val="000000"/>
        </w:rPr>
        <w:t xml:space="preserve"> </w:t>
      </w:r>
      <w:proofErr w:type="spellStart"/>
      <w:r w:rsidR="00C1692C" w:rsidRPr="005E0796">
        <w:rPr>
          <w:rStyle w:val="spar"/>
          <w:i/>
          <w:color w:val="000000"/>
        </w:rPr>
        <w:t>fondurilor</w:t>
      </w:r>
      <w:proofErr w:type="spellEnd"/>
      <w:r w:rsidR="00C1692C" w:rsidRPr="005E0796">
        <w:rPr>
          <w:rStyle w:val="spar"/>
          <w:i/>
          <w:color w:val="000000"/>
        </w:rPr>
        <w:t xml:space="preserve"> </w:t>
      </w:r>
      <w:proofErr w:type="spellStart"/>
      <w:r w:rsidR="00C1692C" w:rsidRPr="005E0796">
        <w:rPr>
          <w:rStyle w:val="spar"/>
          <w:i/>
          <w:color w:val="000000"/>
        </w:rPr>
        <w:t>cinegetice</w:t>
      </w:r>
      <w:proofErr w:type="spellEnd"/>
      <w:r w:rsidR="00C1692C" w:rsidRPr="005E0796">
        <w:rPr>
          <w:rStyle w:val="spar"/>
          <w:i/>
          <w:color w:val="000000"/>
        </w:rPr>
        <w:t xml:space="preserve"> </w:t>
      </w:r>
      <w:proofErr w:type="spellStart"/>
      <w:r w:rsidR="00C1692C" w:rsidRPr="005E0796">
        <w:rPr>
          <w:rStyle w:val="spar"/>
          <w:i/>
          <w:color w:val="000000"/>
        </w:rPr>
        <w:t>şi</w:t>
      </w:r>
      <w:proofErr w:type="spellEnd"/>
      <w:r w:rsidR="00C1692C" w:rsidRPr="005E0796">
        <w:rPr>
          <w:rStyle w:val="spar"/>
          <w:i/>
          <w:color w:val="000000"/>
        </w:rPr>
        <w:t xml:space="preserve"> </w:t>
      </w:r>
      <w:proofErr w:type="spellStart"/>
      <w:r w:rsidR="00C1692C" w:rsidRPr="005E0796">
        <w:rPr>
          <w:rStyle w:val="spar"/>
          <w:i/>
          <w:color w:val="000000"/>
        </w:rPr>
        <w:t>proprietarilor</w:t>
      </w:r>
      <w:proofErr w:type="spellEnd"/>
      <w:r w:rsidR="00C1692C" w:rsidRPr="005E0796">
        <w:rPr>
          <w:rStyle w:val="spar"/>
          <w:i/>
          <w:color w:val="000000"/>
        </w:rPr>
        <w:t xml:space="preserve"> de </w:t>
      </w:r>
      <w:proofErr w:type="spellStart"/>
      <w:r w:rsidR="00C1692C" w:rsidRPr="005E0796">
        <w:rPr>
          <w:rStyle w:val="spar"/>
          <w:i/>
          <w:color w:val="000000"/>
        </w:rPr>
        <w:t>culturi</w:t>
      </w:r>
      <w:proofErr w:type="spellEnd"/>
      <w:r w:rsidR="00C1692C" w:rsidRPr="005E0796">
        <w:rPr>
          <w:rStyle w:val="spar"/>
          <w:i/>
          <w:color w:val="000000"/>
        </w:rPr>
        <w:t xml:space="preserve"> </w:t>
      </w:r>
      <w:proofErr w:type="spellStart"/>
      <w:r w:rsidR="00C1692C" w:rsidRPr="005E0796">
        <w:rPr>
          <w:rStyle w:val="spar"/>
          <w:i/>
          <w:color w:val="000000"/>
        </w:rPr>
        <w:t>agricole</w:t>
      </w:r>
      <w:proofErr w:type="spellEnd"/>
      <w:r w:rsidR="00C1692C" w:rsidRPr="005E0796">
        <w:rPr>
          <w:rStyle w:val="spar"/>
          <w:i/>
          <w:color w:val="000000"/>
        </w:rPr>
        <w:t xml:space="preserve">, </w:t>
      </w:r>
      <w:proofErr w:type="spellStart"/>
      <w:r w:rsidR="00C1692C" w:rsidRPr="005E0796">
        <w:rPr>
          <w:rStyle w:val="spar"/>
          <w:i/>
          <w:color w:val="000000"/>
        </w:rPr>
        <w:t>silvice</w:t>
      </w:r>
      <w:proofErr w:type="spellEnd"/>
      <w:r w:rsidR="00C1692C" w:rsidRPr="005E0796">
        <w:rPr>
          <w:rStyle w:val="spar"/>
          <w:i/>
          <w:color w:val="000000"/>
        </w:rPr>
        <w:t xml:space="preserve"> </w:t>
      </w:r>
      <w:proofErr w:type="spellStart"/>
      <w:r w:rsidR="00C1692C" w:rsidRPr="005E0796">
        <w:rPr>
          <w:rStyle w:val="spar"/>
          <w:i/>
          <w:color w:val="000000"/>
        </w:rPr>
        <w:t>şi</w:t>
      </w:r>
      <w:proofErr w:type="spellEnd"/>
      <w:r w:rsidR="00C1692C" w:rsidRPr="005E0796">
        <w:rPr>
          <w:rStyle w:val="spar"/>
          <w:i/>
          <w:color w:val="000000"/>
        </w:rPr>
        <w:t xml:space="preserve"> de </w:t>
      </w:r>
      <w:proofErr w:type="spellStart"/>
      <w:r w:rsidR="00C1692C" w:rsidRPr="005E0796">
        <w:rPr>
          <w:rStyle w:val="spar"/>
          <w:i/>
          <w:color w:val="000000"/>
        </w:rPr>
        <w:t>animale</w:t>
      </w:r>
      <w:proofErr w:type="spellEnd"/>
      <w:r w:rsidR="00C1692C" w:rsidRPr="005E0796">
        <w:rPr>
          <w:rStyle w:val="spar"/>
          <w:i/>
          <w:color w:val="000000"/>
        </w:rPr>
        <w:t xml:space="preserve"> </w:t>
      </w:r>
      <w:proofErr w:type="spellStart"/>
      <w:r w:rsidR="00C1692C" w:rsidRPr="005E0796">
        <w:rPr>
          <w:rStyle w:val="spar"/>
          <w:i/>
          <w:color w:val="000000"/>
        </w:rPr>
        <w:t>domestice</w:t>
      </w:r>
      <w:proofErr w:type="spellEnd"/>
      <w:r w:rsidR="00C1692C" w:rsidRPr="005E0796">
        <w:rPr>
          <w:rStyle w:val="spar"/>
          <w:i/>
          <w:color w:val="000000"/>
        </w:rPr>
        <w:t xml:space="preserve"> </w:t>
      </w:r>
      <w:proofErr w:type="spellStart"/>
      <w:r w:rsidR="00C1692C" w:rsidRPr="005E0796">
        <w:rPr>
          <w:rStyle w:val="spar"/>
          <w:i/>
          <w:color w:val="000000"/>
        </w:rPr>
        <w:t>pentru</w:t>
      </w:r>
      <w:proofErr w:type="spellEnd"/>
      <w:r w:rsidR="00C1692C" w:rsidRPr="005E0796">
        <w:rPr>
          <w:rStyle w:val="spar"/>
          <w:i/>
          <w:color w:val="000000"/>
        </w:rPr>
        <w:t xml:space="preserve"> </w:t>
      </w:r>
      <w:proofErr w:type="spellStart"/>
      <w:r w:rsidR="00C1692C" w:rsidRPr="005E0796">
        <w:rPr>
          <w:rStyle w:val="spar"/>
          <w:i/>
          <w:color w:val="000000"/>
        </w:rPr>
        <w:t>prevenirea</w:t>
      </w:r>
      <w:proofErr w:type="spellEnd"/>
      <w:r w:rsidR="00C1692C" w:rsidRPr="005E0796">
        <w:rPr>
          <w:rStyle w:val="spar"/>
          <w:i/>
          <w:color w:val="000000"/>
        </w:rPr>
        <w:t xml:space="preserve"> </w:t>
      </w:r>
      <w:proofErr w:type="spellStart"/>
      <w:r w:rsidR="00C1692C" w:rsidRPr="005E0796">
        <w:rPr>
          <w:rStyle w:val="spar"/>
          <w:i/>
          <w:color w:val="000000"/>
        </w:rPr>
        <w:t>pagubelor</w:t>
      </w:r>
      <w:proofErr w:type="spellEnd"/>
      <w:r w:rsidR="00C1692C" w:rsidRPr="005E0796">
        <w:rPr>
          <w:i/>
        </w:rPr>
        <w:t xml:space="preserve"> de </w:t>
      </w:r>
      <w:proofErr w:type="spellStart"/>
      <w:r w:rsidR="00C1692C" w:rsidRPr="005E0796">
        <w:rPr>
          <w:i/>
        </w:rPr>
        <w:t>evaluare</w:t>
      </w:r>
      <w:proofErr w:type="spellEnd"/>
      <w:r w:rsidR="00C1692C" w:rsidRPr="005E0796">
        <w:rPr>
          <w:i/>
        </w:rPr>
        <w:t xml:space="preserve"> a </w:t>
      </w:r>
      <w:proofErr w:type="spellStart"/>
      <w:r w:rsidR="00C1692C" w:rsidRPr="005E0796">
        <w:rPr>
          <w:i/>
        </w:rPr>
        <w:t>pagubelor</w:t>
      </w:r>
      <w:proofErr w:type="spellEnd"/>
      <w:r w:rsidR="00C1692C" w:rsidRPr="005E0796">
        <w:rPr>
          <w:i/>
        </w:rPr>
        <w:t xml:space="preserve"> </w:t>
      </w:r>
      <w:proofErr w:type="spellStart"/>
      <w:r w:rsidR="00C1692C" w:rsidRPr="005E0796">
        <w:rPr>
          <w:i/>
        </w:rPr>
        <w:t>produse</w:t>
      </w:r>
      <w:proofErr w:type="spellEnd"/>
      <w:r w:rsidR="00C1692C" w:rsidRPr="005E0796">
        <w:rPr>
          <w:i/>
        </w:rPr>
        <w:t xml:space="preserve"> de fauna </w:t>
      </w:r>
      <w:proofErr w:type="spellStart"/>
      <w:r w:rsidR="00C1692C" w:rsidRPr="005E0796">
        <w:rPr>
          <w:i/>
        </w:rPr>
        <w:t>sălbatică</w:t>
      </w:r>
      <w:proofErr w:type="spellEnd"/>
      <w:r w:rsidR="00C1692C" w:rsidRPr="005E0796">
        <w:rPr>
          <w:i/>
        </w:rPr>
        <w:t xml:space="preserve"> </w:t>
      </w:r>
      <w:proofErr w:type="spellStart"/>
      <w:r w:rsidR="00C1692C" w:rsidRPr="005E0796">
        <w:rPr>
          <w:i/>
        </w:rPr>
        <w:t>în</w:t>
      </w:r>
      <w:proofErr w:type="spellEnd"/>
      <w:r w:rsidR="00C1692C" w:rsidRPr="005E0796">
        <w:rPr>
          <w:i/>
        </w:rPr>
        <w:t xml:space="preserve"> </w:t>
      </w:r>
      <w:proofErr w:type="spellStart"/>
      <w:r w:rsidR="00C1692C" w:rsidRPr="005E0796">
        <w:rPr>
          <w:i/>
        </w:rPr>
        <w:t>culturi</w:t>
      </w:r>
      <w:proofErr w:type="spellEnd"/>
      <w:r w:rsidR="00C1692C" w:rsidRPr="005E0796">
        <w:rPr>
          <w:i/>
        </w:rPr>
        <w:t xml:space="preserve"> </w:t>
      </w:r>
      <w:proofErr w:type="spellStart"/>
      <w:r w:rsidR="00C1692C" w:rsidRPr="005E0796">
        <w:rPr>
          <w:i/>
        </w:rPr>
        <w:t>agricole</w:t>
      </w:r>
      <w:proofErr w:type="spellEnd"/>
      <w:r w:rsidR="00C1692C" w:rsidRPr="005E0796">
        <w:rPr>
          <w:i/>
        </w:rPr>
        <w:t xml:space="preserve"> </w:t>
      </w:r>
      <w:proofErr w:type="spellStart"/>
      <w:r w:rsidR="00C1692C" w:rsidRPr="005E0796">
        <w:rPr>
          <w:i/>
        </w:rPr>
        <w:t>și</w:t>
      </w:r>
      <w:proofErr w:type="spellEnd"/>
      <w:r w:rsidR="00C1692C" w:rsidRPr="005E0796">
        <w:rPr>
          <w:i/>
        </w:rPr>
        <w:t xml:space="preserve"> </w:t>
      </w:r>
      <w:proofErr w:type="spellStart"/>
      <w:r w:rsidR="00C1692C" w:rsidRPr="005E0796">
        <w:rPr>
          <w:i/>
        </w:rPr>
        <w:t>șeptelul</w:t>
      </w:r>
      <w:proofErr w:type="spellEnd"/>
      <w:r w:rsidR="00C1692C" w:rsidRPr="005E0796">
        <w:rPr>
          <w:i/>
        </w:rPr>
        <w:t xml:space="preserve"> domestic</w:t>
      </w:r>
      <w:r w:rsidR="00D32D4E" w:rsidRPr="005E0796">
        <w:t xml:space="preserve"> -</w:t>
      </w:r>
      <w:r w:rsidR="00D2334A" w:rsidRPr="005E0796">
        <w:t xml:space="preserve"> </w:t>
      </w:r>
      <w:r w:rsidR="00D2334A" w:rsidRPr="005E0796">
        <w:rPr>
          <w:b/>
        </w:rPr>
        <w:t>208</w:t>
      </w:r>
      <w:r w:rsidR="00C1692C" w:rsidRPr="005E0796">
        <w:rPr>
          <w:b/>
        </w:rPr>
        <w:t xml:space="preserve"> </w:t>
      </w:r>
      <w:proofErr w:type="spellStart"/>
      <w:r w:rsidR="00D32D4E" w:rsidRPr="005E0796">
        <w:rPr>
          <w:b/>
        </w:rPr>
        <w:t>procese</w:t>
      </w:r>
      <w:proofErr w:type="spellEnd"/>
      <w:r w:rsidR="00D32D4E" w:rsidRPr="005E0796">
        <w:rPr>
          <w:b/>
        </w:rPr>
        <w:t xml:space="preserve"> </w:t>
      </w:r>
      <w:proofErr w:type="spellStart"/>
      <w:r w:rsidR="00D32D4E" w:rsidRPr="005E0796">
        <w:rPr>
          <w:b/>
        </w:rPr>
        <w:t>verbale</w:t>
      </w:r>
      <w:proofErr w:type="spellEnd"/>
      <w:r w:rsidR="00D32D4E" w:rsidRPr="005E0796">
        <w:t xml:space="preserve"> </w:t>
      </w:r>
      <w:proofErr w:type="spellStart"/>
      <w:r w:rsidR="00D32D4E" w:rsidRPr="005E0796">
        <w:rPr>
          <w:b/>
        </w:rPr>
        <w:t>încheiate</w:t>
      </w:r>
      <w:proofErr w:type="spellEnd"/>
      <w:r w:rsidR="00C1692C" w:rsidRPr="005E0796">
        <w:t xml:space="preserve">, </w:t>
      </w:r>
      <w:proofErr w:type="spellStart"/>
      <w:r w:rsidR="001F5A0F" w:rsidRPr="005E0796">
        <w:t>aproape</w:t>
      </w:r>
      <w:proofErr w:type="spellEnd"/>
      <w:r w:rsidR="001F5A0F" w:rsidRPr="005E0796">
        <w:t xml:space="preserve"> </w:t>
      </w:r>
      <w:proofErr w:type="spellStart"/>
      <w:r w:rsidR="00C1692C" w:rsidRPr="005E0796">
        <w:t>dublu</w:t>
      </w:r>
      <w:proofErr w:type="spellEnd"/>
      <w:r w:rsidR="00C1692C" w:rsidRPr="005E0796">
        <w:t xml:space="preserve"> </w:t>
      </w:r>
      <w:proofErr w:type="spellStart"/>
      <w:r w:rsidR="00C1692C" w:rsidRPr="005E0796">
        <w:t>față</w:t>
      </w:r>
      <w:proofErr w:type="spellEnd"/>
      <w:r w:rsidR="00C1692C" w:rsidRPr="005E0796">
        <w:t xml:space="preserve"> de </w:t>
      </w:r>
      <w:proofErr w:type="spellStart"/>
      <w:r w:rsidR="00C1692C" w:rsidRPr="005E0796">
        <w:t>anul</w:t>
      </w:r>
      <w:proofErr w:type="spellEnd"/>
      <w:r w:rsidR="00C1692C" w:rsidRPr="005E0796">
        <w:t xml:space="preserve"> 202</w:t>
      </w:r>
      <w:r w:rsidR="00D670CE" w:rsidRPr="005E0796">
        <w:t>2</w:t>
      </w:r>
      <w:r w:rsidR="001F5A0F" w:rsidRPr="005E0796">
        <w:t xml:space="preserve"> (120)</w:t>
      </w:r>
      <w:r w:rsidR="004A2CEA" w:rsidRPr="005E0796">
        <w:t xml:space="preserve"> </w:t>
      </w:r>
      <w:proofErr w:type="spellStart"/>
      <w:r w:rsidR="004A2CEA" w:rsidRPr="005E0796">
        <w:t>și</w:t>
      </w:r>
      <w:proofErr w:type="spellEnd"/>
      <w:r w:rsidR="004A2CEA" w:rsidRPr="005E0796">
        <w:t xml:space="preserve"> tot </w:t>
      </w:r>
      <w:proofErr w:type="spellStart"/>
      <w:r w:rsidR="004A2CEA" w:rsidRPr="005E0796">
        <w:t>atâtea</w:t>
      </w:r>
      <w:proofErr w:type="spellEnd"/>
      <w:r w:rsidR="004A2CEA" w:rsidRPr="005E0796">
        <w:t xml:space="preserve"> </w:t>
      </w:r>
      <w:proofErr w:type="spellStart"/>
      <w:r w:rsidR="004A2CEA" w:rsidRPr="005E0796">
        <w:t>dosare</w:t>
      </w:r>
      <w:proofErr w:type="spellEnd"/>
      <w:r w:rsidR="004A2CEA" w:rsidRPr="005E0796">
        <w:t xml:space="preserve"> </w:t>
      </w:r>
      <w:proofErr w:type="spellStart"/>
      <w:r w:rsidR="004A2CEA" w:rsidRPr="005E0796">
        <w:t>verificate</w:t>
      </w:r>
      <w:proofErr w:type="spellEnd"/>
      <w:r w:rsidR="004A2CEA" w:rsidRPr="005E0796">
        <w:t xml:space="preserve"> </w:t>
      </w:r>
      <w:proofErr w:type="spellStart"/>
      <w:r w:rsidR="004A2CEA" w:rsidRPr="005E0796">
        <w:t>și</w:t>
      </w:r>
      <w:proofErr w:type="spellEnd"/>
      <w:r w:rsidR="004A2CEA" w:rsidRPr="005E0796">
        <w:t xml:space="preserve"> </w:t>
      </w:r>
      <w:proofErr w:type="spellStart"/>
      <w:r w:rsidR="004A2CEA" w:rsidRPr="005E0796">
        <w:t>monitorizate</w:t>
      </w:r>
      <w:proofErr w:type="spellEnd"/>
      <w:r w:rsidR="004A2CEA" w:rsidRPr="005E0796">
        <w:t xml:space="preserve"> </w:t>
      </w:r>
      <w:proofErr w:type="spellStart"/>
      <w:r w:rsidR="004A2CEA" w:rsidRPr="005E0796">
        <w:t>până</w:t>
      </w:r>
      <w:proofErr w:type="spellEnd"/>
      <w:r w:rsidR="004A2CEA" w:rsidRPr="005E0796">
        <w:t xml:space="preserve"> la </w:t>
      </w:r>
      <w:proofErr w:type="spellStart"/>
      <w:r w:rsidR="004A2CEA" w:rsidRPr="005E0796">
        <w:t>efectuarea</w:t>
      </w:r>
      <w:proofErr w:type="spellEnd"/>
      <w:r w:rsidR="004A2CEA" w:rsidRPr="005E0796">
        <w:t xml:space="preserve"> </w:t>
      </w:r>
      <w:proofErr w:type="spellStart"/>
      <w:r w:rsidR="004A2CEA" w:rsidRPr="005E0796">
        <w:t>plății</w:t>
      </w:r>
      <w:proofErr w:type="spellEnd"/>
      <w:r w:rsidR="004A2CEA" w:rsidRPr="005E0796">
        <w:t xml:space="preserve">, cu </w:t>
      </w:r>
      <w:proofErr w:type="spellStart"/>
      <w:r w:rsidR="004A2CEA" w:rsidRPr="005E0796">
        <w:t>emiterea</w:t>
      </w:r>
      <w:proofErr w:type="spellEnd"/>
      <w:r w:rsidR="004A2CEA" w:rsidRPr="005E0796">
        <w:t xml:space="preserve"> </w:t>
      </w:r>
      <w:proofErr w:type="spellStart"/>
      <w:r w:rsidR="004A2CEA" w:rsidRPr="005E0796">
        <w:t>deciziilor</w:t>
      </w:r>
      <w:proofErr w:type="spellEnd"/>
      <w:r w:rsidR="004A2CEA" w:rsidRPr="005E0796">
        <w:t xml:space="preserve"> </w:t>
      </w:r>
      <w:proofErr w:type="spellStart"/>
      <w:r w:rsidR="004A2CEA" w:rsidRPr="005E0796">
        <w:t>aferente</w:t>
      </w:r>
      <w:proofErr w:type="spellEnd"/>
      <w:r w:rsidR="00C1692C" w:rsidRPr="005E0796">
        <w:t>;</w:t>
      </w:r>
      <w:r w:rsidR="00D32D4E" w:rsidRPr="005E0796">
        <w:t xml:space="preserve"> </w:t>
      </w:r>
      <w:proofErr w:type="spellStart"/>
      <w:r w:rsidR="00D32D4E" w:rsidRPr="005E0796">
        <w:t>procesele</w:t>
      </w:r>
      <w:proofErr w:type="spellEnd"/>
      <w:r w:rsidR="00D32D4E" w:rsidRPr="005E0796">
        <w:t xml:space="preserve"> </w:t>
      </w:r>
      <w:proofErr w:type="spellStart"/>
      <w:r w:rsidR="00D32D4E" w:rsidRPr="005E0796">
        <w:t>verbale</w:t>
      </w:r>
      <w:proofErr w:type="spellEnd"/>
      <w:r w:rsidR="00D32D4E" w:rsidRPr="005E0796">
        <w:t xml:space="preserve"> au </w:t>
      </w:r>
      <w:proofErr w:type="spellStart"/>
      <w:r w:rsidR="00D32D4E" w:rsidRPr="005E0796">
        <w:t>avut</w:t>
      </w:r>
      <w:proofErr w:type="spellEnd"/>
      <w:r w:rsidR="00D32D4E" w:rsidRPr="005E0796">
        <w:t xml:space="preserve"> </w:t>
      </w:r>
      <w:proofErr w:type="spellStart"/>
      <w:r w:rsidR="00D32D4E" w:rsidRPr="005E0796">
        <w:t>ca</w:t>
      </w:r>
      <w:proofErr w:type="spellEnd"/>
      <w:r w:rsidR="00D32D4E" w:rsidRPr="005E0796">
        <w:t xml:space="preserve"> </w:t>
      </w:r>
      <w:proofErr w:type="spellStart"/>
      <w:r w:rsidR="00D32D4E" w:rsidRPr="005E0796">
        <w:t>obiect</w:t>
      </w:r>
      <w:proofErr w:type="spellEnd"/>
      <w:r w:rsidR="00D32D4E" w:rsidRPr="005E0796">
        <w:t xml:space="preserve"> </w:t>
      </w:r>
      <w:proofErr w:type="spellStart"/>
      <w:r w:rsidR="00D32D4E" w:rsidRPr="005E0796">
        <w:t>pagube</w:t>
      </w:r>
      <w:proofErr w:type="spellEnd"/>
      <w:r w:rsidR="00D32D4E" w:rsidRPr="005E0796">
        <w:t xml:space="preserve"> </w:t>
      </w:r>
      <w:proofErr w:type="spellStart"/>
      <w:r w:rsidR="00D32D4E" w:rsidRPr="005E0796">
        <w:t>produse</w:t>
      </w:r>
      <w:proofErr w:type="spellEnd"/>
      <w:r w:rsidR="00244EEB" w:rsidRPr="005E0796">
        <w:t xml:space="preserve"> </w:t>
      </w:r>
      <w:proofErr w:type="spellStart"/>
      <w:r w:rsidR="00244EEB" w:rsidRPr="005E0796">
        <w:t>în</w:t>
      </w:r>
      <w:proofErr w:type="spellEnd"/>
      <w:r w:rsidR="00244EEB" w:rsidRPr="005E0796">
        <w:t xml:space="preserve"> </w:t>
      </w:r>
      <w:proofErr w:type="spellStart"/>
      <w:r w:rsidR="00244EEB" w:rsidRPr="005E0796">
        <w:t>șeptelul</w:t>
      </w:r>
      <w:proofErr w:type="spellEnd"/>
      <w:r w:rsidR="00244EEB" w:rsidRPr="005E0796">
        <w:t xml:space="preserve"> domestic</w:t>
      </w:r>
      <w:r w:rsidR="00D32D4E" w:rsidRPr="005E0796">
        <w:t xml:space="preserve"> </w:t>
      </w:r>
      <w:proofErr w:type="spellStart"/>
      <w:r w:rsidR="00D670CE" w:rsidRPr="005E0796">
        <w:t>și</w:t>
      </w:r>
      <w:proofErr w:type="spellEnd"/>
      <w:r w:rsidR="00D670CE" w:rsidRPr="005E0796">
        <w:t xml:space="preserve"> </w:t>
      </w:r>
      <w:proofErr w:type="spellStart"/>
      <w:r w:rsidR="00D670CE" w:rsidRPr="005E0796">
        <w:t>culturile</w:t>
      </w:r>
      <w:proofErr w:type="spellEnd"/>
      <w:r w:rsidR="00D670CE" w:rsidRPr="005E0796">
        <w:t xml:space="preserve"> </w:t>
      </w:r>
      <w:proofErr w:type="spellStart"/>
      <w:r w:rsidR="00D670CE" w:rsidRPr="005E0796">
        <w:t>agricole</w:t>
      </w:r>
      <w:proofErr w:type="spellEnd"/>
      <w:r w:rsidR="004A2CEA" w:rsidRPr="005E0796">
        <w:t xml:space="preserve">, </w:t>
      </w:r>
      <w:proofErr w:type="spellStart"/>
      <w:r w:rsidR="004A2CEA" w:rsidRPr="005E0796">
        <w:t>în</w:t>
      </w:r>
      <w:proofErr w:type="spellEnd"/>
      <w:r w:rsidR="004A2CEA" w:rsidRPr="005E0796">
        <w:t xml:space="preserve"> special</w:t>
      </w:r>
      <w:r w:rsidR="00D670CE" w:rsidRPr="005E0796">
        <w:t xml:space="preserve"> </w:t>
      </w:r>
      <w:r w:rsidR="00D32D4E" w:rsidRPr="005E0796">
        <w:t>de</w:t>
      </w:r>
      <w:r w:rsidR="00244EEB" w:rsidRPr="005E0796">
        <w:t xml:space="preserve"> </w:t>
      </w:r>
      <w:proofErr w:type="spellStart"/>
      <w:r w:rsidR="00244EEB" w:rsidRPr="005E0796">
        <w:t>către</w:t>
      </w:r>
      <w:proofErr w:type="spellEnd"/>
      <w:r w:rsidR="00D32D4E" w:rsidRPr="005E0796">
        <w:t xml:space="preserve"> </w:t>
      </w:r>
      <w:proofErr w:type="spellStart"/>
      <w:r w:rsidR="00D32D4E" w:rsidRPr="005E0796">
        <w:t>urs</w:t>
      </w:r>
      <w:proofErr w:type="spellEnd"/>
      <w:r w:rsidR="00D32D4E" w:rsidRPr="005E0796">
        <w:t xml:space="preserve"> (</w:t>
      </w:r>
      <w:r w:rsidR="00D670CE" w:rsidRPr="005E0796">
        <w:t>207</w:t>
      </w:r>
      <w:r w:rsidR="00D32D4E" w:rsidRPr="005E0796">
        <w:t>)</w:t>
      </w:r>
      <w:r w:rsidR="004A2CEA" w:rsidRPr="005E0796">
        <w:t xml:space="preserve">, </w:t>
      </w:r>
      <w:proofErr w:type="spellStart"/>
      <w:r w:rsidR="004A2CEA" w:rsidRPr="005E0796">
        <w:t>unul</w:t>
      </w:r>
      <w:proofErr w:type="spellEnd"/>
      <w:r w:rsidR="004A2CEA" w:rsidRPr="005E0796">
        <w:t xml:space="preserve"> </w:t>
      </w:r>
      <w:proofErr w:type="spellStart"/>
      <w:r w:rsidR="004A2CEA" w:rsidRPr="005E0796">
        <w:t>singur</w:t>
      </w:r>
      <w:proofErr w:type="spellEnd"/>
      <w:r w:rsidR="004A2CEA" w:rsidRPr="005E0796">
        <w:t xml:space="preserve"> </w:t>
      </w:r>
      <w:proofErr w:type="spellStart"/>
      <w:r w:rsidR="004A2CEA" w:rsidRPr="005E0796">
        <w:t>fiind</w:t>
      </w:r>
      <w:proofErr w:type="spellEnd"/>
      <w:r w:rsidR="004A2CEA" w:rsidRPr="005E0796">
        <w:t xml:space="preserve"> </w:t>
      </w:r>
      <w:proofErr w:type="spellStart"/>
      <w:r w:rsidR="004A2CEA" w:rsidRPr="005E0796">
        <w:t>pentru</w:t>
      </w:r>
      <w:proofErr w:type="spellEnd"/>
      <w:r w:rsidR="00D32D4E" w:rsidRPr="005E0796">
        <w:t xml:space="preserve"> </w:t>
      </w:r>
      <w:proofErr w:type="spellStart"/>
      <w:r w:rsidR="00D32D4E" w:rsidRPr="005E0796">
        <w:t>lup</w:t>
      </w:r>
      <w:proofErr w:type="spellEnd"/>
      <w:r w:rsidR="00244EEB" w:rsidRPr="005E0796">
        <w:t>;</w:t>
      </w:r>
      <w:r w:rsidR="0064289A" w:rsidRPr="005E0796">
        <w:t xml:space="preserve"> </w:t>
      </w:r>
      <w:r w:rsidR="00670BE1" w:rsidRPr="005E0796">
        <w:t xml:space="preserve">conform </w:t>
      </w:r>
      <w:proofErr w:type="spellStart"/>
      <w:r w:rsidR="00670BE1" w:rsidRPr="005E0796">
        <w:t>prevederilor</w:t>
      </w:r>
      <w:proofErr w:type="spellEnd"/>
      <w:r w:rsidR="00670BE1" w:rsidRPr="005E0796">
        <w:t xml:space="preserve"> </w:t>
      </w:r>
      <w:proofErr w:type="spellStart"/>
      <w:r w:rsidR="00670BE1" w:rsidRPr="005E0796">
        <w:t>legale</w:t>
      </w:r>
      <w:proofErr w:type="spellEnd"/>
      <w:r w:rsidR="00670BE1" w:rsidRPr="005E0796">
        <w:t xml:space="preserve">, APM </w:t>
      </w:r>
      <w:proofErr w:type="spellStart"/>
      <w:r w:rsidR="00670BE1" w:rsidRPr="005E0796">
        <w:t>Prahova</w:t>
      </w:r>
      <w:proofErr w:type="spellEnd"/>
      <w:r w:rsidR="00670BE1" w:rsidRPr="005E0796">
        <w:t xml:space="preserve"> </w:t>
      </w:r>
      <w:proofErr w:type="spellStart"/>
      <w:r w:rsidR="00670BE1" w:rsidRPr="005E0796">
        <w:t>participă</w:t>
      </w:r>
      <w:proofErr w:type="spellEnd"/>
      <w:r w:rsidR="00670BE1" w:rsidRPr="005E0796">
        <w:t xml:space="preserve"> </w:t>
      </w:r>
      <w:proofErr w:type="spellStart"/>
      <w:r w:rsidR="00670BE1" w:rsidRPr="005E0796">
        <w:t>doar</w:t>
      </w:r>
      <w:proofErr w:type="spellEnd"/>
      <w:r w:rsidR="00670BE1" w:rsidRPr="005E0796">
        <w:t xml:space="preserve"> </w:t>
      </w:r>
      <w:proofErr w:type="spellStart"/>
      <w:r w:rsidR="00670BE1" w:rsidRPr="005E0796">
        <w:t>în</w:t>
      </w:r>
      <w:proofErr w:type="spellEnd"/>
      <w:r w:rsidR="00670BE1" w:rsidRPr="005E0796">
        <w:t xml:space="preserve"> </w:t>
      </w:r>
      <w:proofErr w:type="spellStart"/>
      <w:r w:rsidR="00670BE1" w:rsidRPr="005E0796">
        <w:t>comisiile</w:t>
      </w:r>
      <w:proofErr w:type="spellEnd"/>
      <w:r w:rsidR="00670BE1" w:rsidRPr="005E0796">
        <w:t xml:space="preserve"> </w:t>
      </w:r>
      <w:proofErr w:type="spellStart"/>
      <w:r w:rsidR="00670BE1" w:rsidRPr="005E0796">
        <w:t>pentru</w:t>
      </w:r>
      <w:proofErr w:type="spellEnd"/>
      <w:r w:rsidR="00670BE1" w:rsidRPr="005E0796">
        <w:t xml:space="preserve"> </w:t>
      </w:r>
      <w:proofErr w:type="spellStart"/>
      <w:r w:rsidR="00670BE1" w:rsidRPr="005E0796">
        <w:t>pagubele</w:t>
      </w:r>
      <w:proofErr w:type="spellEnd"/>
      <w:r w:rsidR="00670BE1" w:rsidRPr="005E0796">
        <w:t xml:space="preserve"> </w:t>
      </w:r>
      <w:proofErr w:type="spellStart"/>
      <w:r w:rsidR="00670BE1" w:rsidRPr="005E0796">
        <w:t>produse</w:t>
      </w:r>
      <w:proofErr w:type="spellEnd"/>
      <w:r w:rsidR="00670BE1" w:rsidRPr="005E0796">
        <w:t xml:space="preserve"> de </w:t>
      </w:r>
      <w:proofErr w:type="spellStart"/>
      <w:r w:rsidR="00670BE1" w:rsidRPr="005E0796">
        <w:t>carnivorele</w:t>
      </w:r>
      <w:proofErr w:type="spellEnd"/>
      <w:r w:rsidR="00670BE1" w:rsidRPr="005E0796">
        <w:t xml:space="preserve"> </w:t>
      </w:r>
      <w:proofErr w:type="spellStart"/>
      <w:r w:rsidR="00670BE1" w:rsidRPr="005E0796">
        <w:t>protejate</w:t>
      </w:r>
      <w:proofErr w:type="spellEnd"/>
      <w:r w:rsidR="00670BE1" w:rsidRPr="005E0796">
        <w:t xml:space="preserve"> (</w:t>
      </w:r>
      <w:proofErr w:type="spellStart"/>
      <w:r w:rsidR="00670BE1" w:rsidRPr="005E0796">
        <w:t>urs</w:t>
      </w:r>
      <w:proofErr w:type="spellEnd"/>
      <w:r w:rsidR="00670BE1" w:rsidRPr="005E0796">
        <w:t xml:space="preserve">, </w:t>
      </w:r>
      <w:proofErr w:type="spellStart"/>
      <w:r w:rsidR="00670BE1" w:rsidRPr="005E0796">
        <w:t>lup</w:t>
      </w:r>
      <w:proofErr w:type="spellEnd"/>
      <w:r w:rsidR="00670BE1" w:rsidRPr="005E0796">
        <w:t xml:space="preserve">, </w:t>
      </w:r>
      <w:proofErr w:type="spellStart"/>
      <w:r w:rsidR="00670BE1" w:rsidRPr="005E0796">
        <w:t>râs</w:t>
      </w:r>
      <w:proofErr w:type="spellEnd"/>
      <w:r w:rsidR="00670BE1" w:rsidRPr="005E0796">
        <w:t xml:space="preserve"> </w:t>
      </w:r>
      <w:proofErr w:type="spellStart"/>
      <w:r w:rsidR="00670BE1" w:rsidRPr="005E0796">
        <w:t>și</w:t>
      </w:r>
      <w:proofErr w:type="spellEnd"/>
      <w:r w:rsidR="00670BE1" w:rsidRPr="005E0796">
        <w:t xml:space="preserve"> </w:t>
      </w:r>
      <w:proofErr w:type="spellStart"/>
      <w:r w:rsidR="00670BE1" w:rsidRPr="005E0796">
        <w:t>pisică</w:t>
      </w:r>
      <w:proofErr w:type="spellEnd"/>
      <w:r w:rsidR="00670BE1" w:rsidRPr="005E0796">
        <w:t xml:space="preserve"> </w:t>
      </w:r>
      <w:proofErr w:type="spellStart"/>
      <w:r w:rsidR="00670BE1" w:rsidRPr="005E0796">
        <w:t>sălbatică</w:t>
      </w:r>
      <w:proofErr w:type="spellEnd"/>
      <w:r w:rsidR="00670BE1" w:rsidRPr="005E0796">
        <w:t xml:space="preserve">); </w:t>
      </w:r>
      <w:proofErr w:type="spellStart"/>
      <w:r w:rsidR="0064289A" w:rsidRPr="005E0796">
        <w:rPr>
          <w:b/>
        </w:rPr>
        <w:t>sumele</w:t>
      </w:r>
      <w:proofErr w:type="spellEnd"/>
      <w:r w:rsidR="0064289A" w:rsidRPr="005E0796">
        <w:rPr>
          <w:b/>
        </w:rPr>
        <w:t xml:space="preserve"> </w:t>
      </w:r>
      <w:proofErr w:type="spellStart"/>
      <w:r w:rsidR="005F2556" w:rsidRPr="005E0796">
        <w:rPr>
          <w:b/>
        </w:rPr>
        <w:t>aprobate</w:t>
      </w:r>
      <w:proofErr w:type="spellEnd"/>
      <w:r w:rsidR="005F2556" w:rsidRPr="005E0796">
        <w:rPr>
          <w:b/>
        </w:rPr>
        <w:t xml:space="preserve"> </w:t>
      </w:r>
      <w:proofErr w:type="spellStart"/>
      <w:r w:rsidR="005F2556" w:rsidRPr="005E0796">
        <w:rPr>
          <w:b/>
        </w:rPr>
        <w:t>pentru</w:t>
      </w:r>
      <w:proofErr w:type="spellEnd"/>
      <w:r w:rsidR="0064289A" w:rsidRPr="005E0796">
        <w:rPr>
          <w:b/>
        </w:rPr>
        <w:t xml:space="preserve"> </w:t>
      </w:r>
      <w:proofErr w:type="spellStart"/>
      <w:r w:rsidR="0064289A" w:rsidRPr="005E0796">
        <w:rPr>
          <w:b/>
        </w:rPr>
        <w:t>plată</w:t>
      </w:r>
      <w:proofErr w:type="spellEnd"/>
      <w:r w:rsidR="0064289A" w:rsidRPr="005E0796">
        <w:rPr>
          <w:b/>
        </w:rPr>
        <w:t xml:space="preserve"> </w:t>
      </w:r>
      <w:proofErr w:type="spellStart"/>
      <w:r w:rsidR="0064289A" w:rsidRPr="005E0796">
        <w:rPr>
          <w:b/>
        </w:rPr>
        <w:t>către</w:t>
      </w:r>
      <w:proofErr w:type="spellEnd"/>
      <w:r w:rsidR="0064289A" w:rsidRPr="005E0796">
        <w:rPr>
          <w:b/>
        </w:rPr>
        <w:t xml:space="preserve"> </w:t>
      </w:r>
      <w:proofErr w:type="spellStart"/>
      <w:r w:rsidR="0064289A" w:rsidRPr="005E0796">
        <w:rPr>
          <w:b/>
        </w:rPr>
        <w:t>păgubiți</w:t>
      </w:r>
      <w:proofErr w:type="spellEnd"/>
      <w:r w:rsidR="0064289A" w:rsidRPr="005E0796">
        <w:rPr>
          <w:b/>
        </w:rPr>
        <w:t xml:space="preserve"> se </w:t>
      </w:r>
      <w:proofErr w:type="spellStart"/>
      <w:r w:rsidR="0064289A" w:rsidRPr="005E0796">
        <w:rPr>
          <w:b/>
        </w:rPr>
        <w:t>ridică</w:t>
      </w:r>
      <w:proofErr w:type="spellEnd"/>
      <w:r w:rsidR="0064289A" w:rsidRPr="005E0796">
        <w:rPr>
          <w:b/>
        </w:rPr>
        <w:t xml:space="preserve"> la un total de </w:t>
      </w:r>
      <w:r w:rsidR="002911CC" w:rsidRPr="005E0796">
        <w:rPr>
          <w:b/>
        </w:rPr>
        <w:t>370.008 lei</w:t>
      </w:r>
      <w:r w:rsidR="005F2556" w:rsidRPr="005E0796">
        <w:rPr>
          <w:b/>
        </w:rPr>
        <w:t xml:space="preserve">, din care au </w:t>
      </w:r>
      <w:proofErr w:type="spellStart"/>
      <w:r w:rsidR="005F2556" w:rsidRPr="005E0796">
        <w:rPr>
          <w:b/>
        </w:rPr>
        <w:t>fost</w:t>
      </w:r>
      <w:proofErr w:type="spellEnd"/>
      <w:r w:rsidR="005F2556" w:rsidRPr="005E0796">
        <w:rPr>
          <w:b/>
        </w:rPr>
        <w:t xml:space="preserve"> </w:t>
      </w:r>
      <w:proofErr w:type="spellStart"/>
      <w:r w:rsidR="005F2556" w:rsidRPr="005E0796">
        <w:rPr>
          <w:b/>
        </w:rPr>
        <w:t>plătiți</w:t>
      </w:r>
      <w:proofErr w:type="spellEnd"/>
      <w:r w:rsidR="005F2556" w:rsidRPr="005E0796">
        <w:rPr>
          <w:b/>
        </w:rPr>
        <w:t xml:space="preserve"> </w:t>
      </w:r>
      <w:proofErr w:type="spellStart"/>
      <w:r w:rsidR="005F2556" w:rsidRPr="005E0796">
        <w:rPr>
          <w:b/>
        </w:rPr>
        <w:t>efectiv</w:t>
      </w:r>
      <w:proofErr w:type="spellEnd"/>
      <w:r w:rsidR="005F2556" w:rsidRPr="005E0796">
        <w:rPr>
          <w:b/>
        </w:rPr>
        <w:t xml:space="preserve"> 209.000 lei</w:t>
      </w:r>
      <w:r w:rsidR="002911CC" w:rsidRPr="005E0796">
        <w:rPr>
          <w:b/>
        </w:rPr>
        <w:t>.</w:t>
      </w:r>
    </w:p>
    <w:p w:rsidR="00C1692C" w:rsidRPr="005E0796" w:rsidRDefault="005E0796" w:rsidP="005E0796">
      <w:pPr>
        <w:spacing w:after="160" w:line="259" w:lineRule="auto"/>
        <w:ind w:right="-1" w:firstLine="284"/>
        <w:jc w:val="both"/>
      </w:pPr>
      <w:proofErr w:type="spellStart"/>
      <w:r>
        <w:lastRenderedPageBreak/>
        <w:t>Î</w:t>
      </w:r>
      <w:r w:rsidR="009131AE" w:rsidRPr="005E0796">
        <w:t>n</w:t>
      </w:r>
      <w:proofErr w:type="spellEnd"/>
      <w:r w:rsidR="009131AE" w:rsidRPr="005E0796">
        <w:t xml:space="preserve"> </w:t>
      </w:r>
      <w:proofErr w:type="spellStart"/>
      <w:r w:rsidR="009131AE" w:rsidRPr="005E0796">
        <w:t>conformitate</w:t>
      </w:r>
      <w:proofErr w:type="spellEnd"/>
      <w:r w:rsidR="009131AE" w:rsidRPr="005E0796">
        <w:t xml:space="preserve"> cu </w:t>
      </w:r>
      <w:r w:rsidR="009131AE" w:rsidRPr="005E0796">
        <w:rPr>
          <w:i/>
        </w:rPr>
        <w:t xml:space="preserve">OUG nr. 81/2021 </w:t>
      </w:r>
      <w:proofErr w:type="spellStart"/>
      <w:r w:rsidR="009131AE" w:rsidRPr="005E0796">
        <w:rPr>
          <w:rStyle w:val="shdr"/>
          <w:i/>
        </w:rPr>
        <w:t>privind</w:t>
      </w:r>
      <w:proofErr w:type="spellEnd"/>
      <w:r w:rsidR="009131AE" w:rsidRPr="005E0796">
        <w:rPr>
          <w:rStyle w:val="shdr"/>
          <w:i/>
        </w:rPr>
        <w:t xml:space="preserve"> </w:t>
      </w:r>
      <w:proofErr w:type="spellStart"/>
      <w:r w:rsidR="009131AE" w:rsidRPr="005E0796">
        <w:rPr>
          <w:rStyle w:val="shdr"/>
          <w:i/>
        </w:rPr>
        <w:t>aprobarea</w:t>
      </w:r>
      <w:proofErr w:type="spellEnd"/>
      <w:r w:rsidR="009131AE" w:rsidRPr="005E0796">
        <w:rPr>
          <w:rStyle w:val="shdr"/>
          <w:i/>
        </w:rPr>
        <w:t xml:space="preserve"> </w:t>
      </w:r>
      <w:proofErr w:type="spellStart"/>
      <w:r w:rsidR="009131AE" w:rsidRPr="005E0796">
        <w:rPr>
          <w:rStyle w:val="shdr"/>
          <w:i/>
        </w:rPr>
        <w:t>metodelor</w:t>
      </w:r>
      <w:proofErr w:type="spellEnd"/>
      <w:r w:rsidR="009131AE" w:rsidRPr="005E0796">
        <w:rPr>
          <w:rStyle w:val="shdr"/>
          <w:i/>
        </w:rPr>
        <w:t xml:space="preserve"> de </w:t>
      </w:r>
      <w:proofErr w:type="spellStart"/>
      <w:r w:rsidR="009131AE" w:rsidRPr="005E0796">
        <w:rPr>
          <w:rStyle w:val="shdr"/>
          <w:i/>
        </w:rPr>
        <w:t>intervenție</w:t>
      </w:r>
      <w:proofErr w:type="spellEnd"/>
      <w:r w:rsidR="009131AE" w:rsidRPr="005E0796">
        <w:rPr>
          <w:rStyle w:val="shdr"/>
          <w:i/>
        </w:rPr>
        <w:t xml:space="preserve"> </w:t>
      </w:r>
      <w:proofErr w:type="spellStart"/>
      <w:r w:rsidR="009131AE" w:rsidRPr="005E0796">
        <w:rPr>
          <w:rStyle w:val="shdr"/>
          <w:i/>
        </w:rPr>
        <w:t>imediată</w:t>
      </w:r>
      <w:proofErr w:type="spellEnd"/>
      <w:r w:rsidR="009131AE" w:rsidRPr="005E0796">
        <w:rPr>
          <w:rStyle w:val="shdr"/>
          <w:i/>
        </w:rPr>
        <w:t xml:space="preserve"> </w:t>
      </w:r>
      <w:proofErr w:type="spellStart"/>
      <w:r w:rsidR="009131AE" w:rsidRPr="005E0796">
        <w:rPr>
          <w:rStyle w:val="shdr"/>
          <w:i/>
        </w:rPr>
        <w:t>pentru</w:t>
      </w:r>
      <w:proofErr w:type="spellEnd"/>
      <w:r w:rsidR="009131AE" w:rsidRPr="005E0796">
        <w:rPr>
          <w:rStyle w:val="shdr"/>
          <w:i/>
        </w:rPr>
        <w:t xml:space="preserve"> </w:t>
      </w:r>
      <w:proofErr w:type="spellStart"/>
      <w:r w:rsidR="009131AE" w:rsidRPr="005E0796">
        <w:rPr>
          <w:rStyle w:val="shdr"/>
          <w:i/>
        </w:rPr>
        <w:t>prevenirea</w:t>
      </w:r>
      <w:proofErr w:type="spellEnd"/>
      <w:r w:rsidR="009131AE" w:rsidRPr="005E0796">
        <w:rPr>
          <w:rStyle w:val="shdr"/>
          <w:i/>
        </w:rPr>
        <w:t xml:space="preserve"> </w:t>
      </w:r>
      <w:proofErr w:type="spellStart"/>
      <w:r w:rsidR="009131AE" w:rsidRPr="005E0796">
        <w:rPr>
          <w:rStyle w:val="shdr"/>
          <w:i/>
        </w:rPr>
        <w:t>și</w:t>
      </w:r>
      <w:proofErr w:type="spellEnd"/>
      <w:r w:rsidR="009131AE" w:rsidRPr="005E0796">
        <w:rPr>
          <w:rStyle w:val="shdr"/>
          <w:i/>
        </w:rPr>
        <w:t xml:space="preserve"> </w:t>
      </w:r>
      <w:proofErr w:type="spellStart"/>
      <w:r w:rsidR="009131AE" w:rsidRPr="005E0796">
        <w:rPr>
          <w:rStyle w:val="shdr"/>
          <w:i/>
        </w:rPr>
        <w:t>combaterea</w:t>
      </w:r>
      <w:proofErr w:type="spellEnd"/>
      <w:r w:rsidR="009131AE" w:rsidRPr="005E0796">
        <w:rPr>
          <w:rStyle w:val="shdr"/>
          <w:i/>
        </w:rPr>
        <w:t xml:space="preserve"> </w:t>
      </w:r>
      <w:proofErr w:type="spellStart"/>
      <w:r w:rsidR="009131AE" w:rsidRPr="005E0796">
        <w:rPr>
          <w:rStyle w:val="shdr"/>
          <w:i/>
        </w:rPr>
        <w:t>atacurilor</w:t>
      </w:r>
      <w:proofErr w:type="spellEnd"/>
      <w:r w:rsidR="009131AE" w:rsidRPr="005E0796">
        <w:rPr>
          <w:rStyle w:val="shdr"/>
          <w:i/>
        </w:rPr>
        <w:t xml:space="preserve"> </w:t>
      </w:r>
      <w:proofErr w:type="spellStart"/>
      <w:r w:rsidR="009131AE" w:rsidRPr="005E0796">
        <w:rPr>
          <w:rStyle w:val="shdr"/>
          <w:i/>
        </w:rPr>
        <w:t>exemplarelor</w:t>
      </w:r>
      <w:proofErr w:type="spellEnd"/>
      <w:r w:rsidR="009131AE" w:rsidRPr="005E0796">
        <w:rPr>
          <w:rStyle w:val="shdr"/>
          <w:i/>
        </w:rPr>
        <w:t xml:space="preserve"> de </w:t>
      </w:r>
      <w:proofErr w:type="spellStart"/>
      <w:r w:rsidR="009131AE" w:rsidRPr="005E0796">
        <w:rPr>
          <w:rStyle w:val="shdr"/>
          <w:i/>
        </w:rPr>
        <w:t>urs</w:t>
      </w:r>
      <w:proofErr w:type="spellEnd"/>
      <w:r w:rsidR="009131AE" w:rsidRPr="005E0796">
        <w:rPr>
          <w:rStyle w:val="shdr"/>
          <w:i/>
        </w:rPr>
        <w:t xml:space="preserve"> </w:t>
      </w:r>
      <w:proofErr w:type="spellStart"/>
      <w:r w:rsidR="009131AE" w:rsidRPr="005E0796">
        <w:rPr>
          <w:rStyle w:val="shdr"/>
          <w:i/>
        </w:rPr>
        <w:t>brun</w:t>
      </w:r>
      <w:proofErr w:type="spellEnd"/>
      <w:r w:rsidR="009131AE" w:rsidRPr="005E0796">
        <w:rPr>
          <w:rStyle w:val="shdr"/>
          <w:i/>
        </w:rPr>
        <w:t xml:space="preserve"> </w:t>
      </w:r>
      <w:proofErr w:type="spellStart"/>
      <w:r w:rsidR="009131AE" w:rsidRPr="005E0796">
        <w:rPr>
          <w:rStyle w:val="shdr"/>
          <w:i/>
        </w:rPr>
        <w:t>asupra</w:t>
      </w:r>
      <w:proofErr w:type="spellEnd"/>
      <w:r w:rsidR="009131AE" w:rsidRPr="005E0796">
        <w:rPr>
          <w:rStyle w:val="shdr"/>
          <w:i/>
        </w:rPr>
        <w:t xml:space="preserve"> </w:t>
      </w:r>
      <w:proofErr w:type="spellStart"/>
      <w:r w:rsidR="009131AE" w:rsidRPr="005E0796">
        <w:rPr>
          <w:rStyle w:val="shdr"/>
          <w:i/>
        </w:rPr>
        <w:t>persoanelor</w:t>
      </w:r>
      <w:proofErr w:type="spellEnd"/>
      <w:r w:rsidR="009131AE" w:rsidRPr="005E0796">
        <w:rPr>
          <w:rStyle w:val="shdr"/>
          <w:i/>
        </w:rPr>
        <w:t xml:space="preserve"> </w:t>
      </w:r>
      <w:proofErr w:type="spellStart"/>
      <w:r w:rsidR="009131AE" w:rsidRPr="005E0796">
        <w:rPr>
          <w:rStyle w:val="shdr"/>
          <w:i/>
        </w:rPr>
        <w:t>și</w:t>
      </w:r>
      <w:proofErr w:type="spellEnd"/>
      <w:r w:rsidR="009131AE" w:rsidRPr="005E0796">
        <w:rPr>
          <w:rStyle w:val="shdr"/>
          <w:i/>
        </w:rPr>
        <w:t xml:space="preserve"> </w:t>
      </w:r>
      <w:proofErr w:type="spellStart"/>
      <w:r w:rsidR="009131AE" w:rsidRPr="005E0796">
        <w:rPr>
          <w:rStyle w:val="shdr"/>
          <w:i/>
        </w:rPr>
        <w:t>bunurilor</w:t>
      </w:r>
      <w:proofErr w:type="spellEnd"/>
      <w:r w:rsidR="009131AE" w:rsidRPr="005E0796">
        <w:rPr>
          <w:rStyle w:val="shdr"/>
          <w:i/>
        </w:rPr>
        <w:t xml:space="preserve"> </w:t>
      </w:r>
      <w:proofErr w:type="spellStart"/>
      <w:r w:rsidR="009131AE" w:rsidRPr="005E0796">
        <w:rPr>
          <w:rStyle w:val="shdr"/>
          <w:i/>
        </w:rPr>
        <w:t>acestora</w:t>
      </w:r>
      <w:proofErr w:type="spellEnd"/>
      <w:r w:rsidR="009131AE" w:rsidRPr="005E0796">
        <w:rPr>
          <w:rStyle w:val="shdr"/>
          <w:i/>
        </w:rPr>
        <w:t xml:space="preserve">, </w:t>
      </w:r>
      <w:proofErr w:type="spellStart"/>
      <w:r w:rsidR="009131AE" w:rsidRPr="005E0796">
        <w:rPr>
          <w:rStyle w:val="shdr"/>
          <w:i/>
        </w:rPr>
        <w:t>în</w:t>
      </w:r>
      <w:proofErr w:type="spellEnd"/>
      <w:r w:rsidR="009131AE" w:rsidRPr="005E0796">
        <w:rPr>
          <w:rStyle w:val="shdr"/>
          <w:i/>
        </w:rPr>
        <w:t xml:space="preserve"> </w:t>
      </w:r>
      <w:proofErr w:type="spellStart"/>
      <w:r w:rsidR="009131AE" w:rsidRPr="005E0796">
        <w:rPr>
          <w:rStyle w:val="shdr"/>
          <w:i/>
        </w:rPr>
        <w:t>intravilanul</w:t>
      </w:r>
      <w:proofErr w:type="spellEnd"/>
      <w:r w:rsidR="009131AE" w:rsidRPr="005E0796">
        <w:rPr>
          <w:rStyle w:val="shdr"/>
          <w:i/>
        </w:rPr>
        <w:t xml:space="preserve"> </w:t>
      </w:r>
      <w:proofErr w:type="spellStart"/>
      <w:r w:rsidR="009131AE" w:rsidRPr="005E0796">
        <w:rPr>
          <w:rStyle w:val="shdr"/>
          <w:i/>
        </w:rPr>
        <w:t>localităților</w:t>
      </w:r>
      <w:proofErr w:type="spellEnd"/>
      <w:r w:rsidR="009131AE" w:rsidRPr="005E0796">
        <w:rPr>
          <w:rStyle w:val="shdr"/>
          <w:i/>
        </w:rPr>
        <w:t xml:space="preserve">, </w:t>
      </w:r>
      <w:proofErr w:type="spellStart"/>
      <w:r w:rsidR="009131AE" w:rsidRPr="005E0796">
        <w:rPr>
          <w:rStyle w:val="shdr"/>
          <w:i/>
        </w:rPr>
        <w:t>precum</w:t>
      </w:r>
      <w:proofErr w:type="spellEnd"/>
      <w:r w:rsidR="009131AE" w:rsidRPr="005E0796">
        <w:rPr>
          <w:rStyle w:val="shdr"/>
          <w:i/>
        </w:rPr>
        <w:t xml:space="preserve"> </w:t>
      </w:r>
      <w:proofErr w:type="spellStart"/>
      <w:r w:rsidR="009131AE" w:rsidRPr="005E0796">
        <w:rPr>
          <w:rStyle w:val="shdr"/>
          <w:i/>
        </w:rPr>
        <w:t>și</w:t>
      </w:r>
      <w:proofErr w:type="spellEnd"/>
      <w:r w:rsidR="009131AE" w:rsidRPr="005E0796">
        <w:rPr>
          <w:rStyle w:val="shdr"/>
          <w:i/>
        </w:rPr>
        <w:t xml:space="preserve"> </w:t>
      </w:r>
      <w:proofErr w:type="spellStart"/>
      <w:r w:rsidR="009131AE" w:rsidRPr="005E0796">
        <w:rPr>
          <w:rStyle w:val="shdr"/>
          <w:i/>
        </w:rPr>
        <w:t>pentru</w:t>
      </w:r>
      <w:proofErr w:type="spellEnd"/>
      <w:r w:rsidR="009131AE" w:rsidRPr="005E0796">
        <w:rPr>
          <w:rStyle w:val="shdr"/>
          <w:i/>
        </w:rPr>
        <w:t xml:space="preserve"> </w:t>
      </w:r>
      <w:proofErr w:type="spellStart"/>
      <w:r w:rsidR="009131AE" w:rsidRPr="005E0796">
        <w:rPr>
          <w:rStyle w:val="shdr"/>
          <w:i/>
        </w:rPr>
        <w:t>modificarea</w:t>
      </w:r>
      <w:proofErr w:type="spellEnd"/>
      <w:r w:rsidR="009131AE" w:rsidRPr="005E0796">
        <w:rPr>
          <w:rStyle w:val="shdr"/>
          <w:i/>
        </w:rPr>
        <w:t xml:space="preserve"> </w:t>
      </w:r>
      <w:proofErr w:type="spellStart"/>
      <w:r w:rsidR="009131AE" w:rsidRPr="005E0796">
        <w:rPr>
          <w:rStyle w:val="shdr"/>
          <w:i/>
        </w:rPr>
        <w:t>și</w:t>
      </w:r>
      <w:proofErr w:type="spellEnd"/>
      <w:r w:rsidR="009131AE" w:rsidRPr="005E0796">
        <w:rPr>
          <w:rStyle w:val="shdr"/>
          <w:i/>
        </w:rPr>
        <w:t xml:space="preserve"> </w:t>
      </w:r>
      <w:proofErr w:type="spellStart"/>
      <w:r w:rsidR="009131AE" w:rsidRPr="005E0796">
        <w:rPr>
          <w:rStyle w:val="shdr"/>
          <w:i/>
        </w:rPr>
        <w:t>completarea</w:t>
      </w:r>
      <w:proofErr w:type="spellEnd"/>
      <w:r w:rsidR="009131AE" w:rsidRPr="005E0796">
        <w:rPr>
          <w:rStyle w:val="shdr"/>
          <w:i/>
        </w:rPr>
        <w:t xml:space="preserve"> </w:t>
      </w:r>
      <w:proofErr w:type="spellStart"/>
      <w:r w:rsidR="009131AE" w:rsidRPr="005E0796">
        <w:rPr>
          <w:rStyle w:val="shdr"/>
          <w:i/>
        </w:rPr>
        <w:t>unor</w:t>
      </w:r>
      <w:proofErr w:type="spellEnd"/>
      <w:r w:rsidR="009131AE" w:rsidRPr="005E0796">
        <w:rPr>
          <w:rStyle w:val="shdr"/>
          <w:i/>
        </w:rPr>
        <w:t xml:space="preserve"> </w:t>
      </w:r>
      <w:proofErr w:type="spellStart"/>
      <w:r w:rsidR="009131AE" w:rsidRPr="005E0796">
        <w:rPr>
          <w:rStyle w:val="shdr"/>
          <w:i/>
        </w:rPr>
        <w:t>acte</w:t>
      </w:r>
      <w:proofErr w:type="spellEnd"/>
      <w:r w:rsidR="009131AE" w:rsidRPr="005E0796">
        <w:rPr>
          <w:rStyle w:val="shdr"/>
          <w:i/>
        </w:rPr>
        <w:t xml:space="preserve"> normative</w:t>
      </w:r>
      <w:r w:rsidR="009131AE" w:rsidRPr="005E0796">
        <w:rPr>
          <w:rStyle w:val="shdr"/>
        </w:rPr>
        <w:t xml:space="preserve">, </w:t>
      </w:r>
      <w:proofErr w:type="spellStart"/>
      <w:r w:rsidR="009131AE" w:rsidRPr="005E0796">
        <w:rPr>
          <w:rStyle w:val="shdr"/>
        </w:rPr>
        <w:t>potrivit</w:t>
      </w:r>
      <w:proofErr w:type="spellEnd"/>
      <w:r w:rsidR="009131AE" w:rsidRPr="005E0796">
        <w:rPr>
          <w:rStyle w:val="shdr"/>
        </w:rPr>
        <w:t xml:space="preserve"> </w:t>
      </w:r>
      <w:proofErr w:type="spellStart"/>
      <w:r w:rsidR="009131AE" w:rsidRPr="005E0796">
        <w:rPr>
          <w:rStyle w:val="shdr"/>
        </w:rPr>
        <w:t>atribuțiilor</w:t>
      </w:r>
      <w:proofErr w:type="spellEnd"/>
      <w:r w:rsidR="009131AE" w:rsidRPr="005E0796">
        <w:rPr>
          <w:rStyle w:val="shdr"/>
        </w:rPr>
        <w:t xml:space="preserve"> APM, </w:t>
      </w:r>
      <w:r w:rsidR="009131AE" w:rsidRPr="005E0796">
        <w:rPr>
          <w:rStyle w:val="shdr"/>
          <w:b/>
        </w:rPr>
        <w:t xml:space="preserve">au </w:t>
      </w:r>
      <w:proofErr w:type="spellStart"/>
      <w:r w:rsidR="009131AE" w:rsidRPr="005E0796">
        <w:rPr>
          <w:rStyle w:val="shdr"/>
          <w:b/>
        </w:rPr>
        <w:t>fost</w:t>
      </w:r>
      <w:proofErr w:type="spellEnd"/>
      <w:r w:rsidR="009131AE" w:rsidRPr="005E0796">
        <w:rPr>
          <w:rStyle w:val="shdr"/>
          <w:b/>
        </w:rPr>
        <w:t xml:space="preserve"> </w:t>
      </w:r>
      <w:proofErr w:type="spellStart"/>
      <w:r w:rsidR="009131AE" w:rsidRPr="005E0796">
        <w:rPr>
          <w:rStyle w:val="shdr"/>
          <w:b/>
        </w:rPr>
        <w:t>prim</w:t>
      </w:r>
      <w:r w:rsidR="006D3E9C" w:rsidRPr="005E0796">
        <w:rPr>
          <w:rStyle w:val="shdr"/>
          <w:b/>
        </w:rPr>
        <w:t>i</w:t>
      </w:r>
      <w:r w:rsidR="009131AE" w:rsidRPr="005E0796">
        <w:rPr>
          <w:rStyle w:val="shdr"/>
          <w:b/>
        </w:rPr>
        <w:t>te</w:t>
      </w:r>
      <w:proofErr w:type="spellEnd"/>
      <w:r w:rsidR="009131AE" w:rsidRPr="005E0796">
        <w:rPr>
          <w:rStyle w:val="shdr"/>
          <w:b/>
        </w:rPr>
        <w:t xml:space="preserve"> </w:t>
      </w:r>
      <w:proofErr w:type="spellStart"/>
      <w:r w:rsidR="009131AE" w:rsidRPr="005E0796">
        <w:rPr>
          <w:rStyle w:val="shdr"/>
          <w:b/>
        </w:rPr>
        <w:t>și</w:t>
      </w:r>
      <w:proofErr w:type="spellEnd"/>
      <w:r w:rsidR="009131AE" w:rsidRPr="005E0796">
        <w:rPr>
          <w:rStyle w:val="shdr"/>
          <w:b/>
        </w:rPr>
        <w:t xml:space="preserve"> </w:t>
      </w:r>
      <w:proofErr w:type="spellStart"/>
      <w:r w:rsidR="009131AE" w:rsidRPr="005E0796">
        <w:rPr>
          <w:rStyle w:val="shdr"/>
          <w:b/>
        </w:rPr>
        <w:t>centralizate</w:t>
      </w:r>
      <w:proofErr w:type="spellEnd"/>
      <w:r w:rsidR="009131AE" w:rsidRPr="005E0796">
        <w:rPr>
          <w:rStyle w:val="shdr"/>
          <w:b/>
        </w:rPr>
        <w:t xml:space="preserve"> </w:t>
      </w:r>
      <w:proofErr w:type="spellStart"/>
      <w:r w:rsidR="009131AE" w:rsidRPr="005E0796">
        <w:rPr>
          <w:rStyle w:val="shdr"/>
          <w:b/>
        </w:rPr>
        <w:t>în</w:t>
      </w:r>
      <w:proofErr w:type="spellEnd"/>
      <w:r w:rsidR="009131AE" w:rsidRPr="005E0796">
        <w:rPr>
          <w:rStyle w:val="shdr"/>
          <w:b/>
        </w:rPr>
        <w:t xml:space="preserve"> </w:t>
      </w:r>
      <w:proofErr w:type="spellStart"/>
      <w:r w:rsidR="009131AE" w:rsidRPr="005E0796">
        <w:rPr>
          <w:rStyle w:val="shdr"/>
          <w:b/>
        </w:rPr>
        <w:t>baza</w:t>
      </w:r>
      <w:proofErr w:type="spellEnd"/>
      <w:r w:rsidR="009131AE" w:rsidRPr="005E0796">
        <w:rPr>
          <w:rStyle w:val="shdr"/>
          <w:b/>
        </w:rPr>
        <w:t xml:space="preserve"> de date </w:t>
      </w:r>
      <w:proofErr w:type="spellStart"/>
      <w:r w:rsidR="009131AE" w:rsidRPr="005E0796">
        <w:rPr>
          <w:rStyle w:val="shdr"/>
          <w:b/>
        </w:rPr>
        <w:t>națională</w:t>
      </w:r>
      <w:proofErr w:type="spellEnd"/>
      <w:r w:rsidR="00C1692C" w:rsidRPr="005E0796">
        <w:rPr>
          <w:b/>
        </w:rPr>
        <w:t xml:space="preserve"> un </w:t>
      </w:r>
      <w:proofErr w:type="spellStart"/>
      <w:r w:rsidR="00C1692C" w:rsidRPr="005E0796">
        <w:rPr>
          <w:b/>
        </w:rPr>
        <w:t>număr</w:t>
      </w:r>
      <w:proofErr w:type="spellEnd"/>
      <w:r w:rsidR="00C1692C" w:rsidRPr="005E0796">
        <w:rPr>
          <w:b/>
        </w:rPr>
        <w:t xml:space="preserve"> de </w:t>
      </w:r>
      <w:r w:rsidR="005D0499" w:rsidRPr="005E0796">
        <w:rPr>
          <w:b/>
        </w:rPr>
        <w:t>162</w:t>
      </w:r>
      <w:r w:rsidR="00C1692C" w:rsidRPr="005E0796">
        <w:rPr>
          <w:b/>
        </w:rPr>
        <w:t xml:space="preserve"> de </w:t>
      </w:r>
      <w:proofErr w:type="spellStart"/>
      <w:r w:rsidR="00C1692C" w:rsidRPr="005E0796">
        <w:rPr>
          <w:b/>
        </w:rPr>
        <w:t>rapoarte</w:t>
      </w:r>
      <w:proofErr w:type="spellEnd"/>
      <w:r w:rsidR="00C1692C" w:rsidRPr="005E0796">
        <w:rPr>
          <w:b/>
        </w:rPr>
        <w:t xml:space="preserve"> de </w:t>
      </w:r>
      <w:proofErr w:type="spellStart"/>
      <w:r w:rsidR="00C1692C" w:rsidRPr="005E0796">
        <w:rPr>
          <w:b/>
        </w:rPr>
        <w:t>eveniment</w:t>
      </w:r>
      <w:proofErr w:type="spellEnd"/>
      <w:r w:rsidR="00C1692C" w:rsidRPr="005E0796">
        <w:t xml:space="preserve"> </w:t>
      </w:r>
      <w:proofErr w:type="spellStart"/>
      <w:r w:rsidR="00C1692C" w:rsidRPr="005E0796">
        <w:t>întocmite</w:t>
      </w:r>
      <w:proofErr w:type="spellEnd"/>
      <w:r w:rsidR="00C1692C" w:rsidRPr="005E0796">
        <w:t xml:space="preserve"> </w:t>
      </w:r>
      <w:proofErr w:type="spellStart"/>
      <w:r w:rsidR="00C1692C" w:rsidRPr="005E0796">
        <w:t>ca</w:t>
      </w:r>
      <w:proofErr w:type="spellEnd"/>
      <w:r w:rsidR="00C1692C" w:rsidRPr="005E0796">
        <w:t xml:space="preserve"> </w:t>
      </w:r>
      <w:proofErr w:type="spellStart"/>
      <w:r w:rsidR="00C1692C" w:rsidRPr="005E0796">
        <w:t>urmare</w:t>
      </w:r>
      <w:proofErr w:type="spellEnd"/>
      <w:r w:rsidR="00C1692C" w:rsidRPr="005E0796">
        <w:t xml:space="preserve"> a </w:t>
      </w:r>
      <w:proofErr w:type="spellStart"/>
      <w:r w:rsidR="00C1692C" w:rsidRPr="005E0796">
        <w:t>intervențiilor</w:t>
      </w:r>
      <w:proofErr w:type="spellEnd"/>
      <w:r w:rsidR="00C1692C" w:rsidRPr="005E0796">
        <w:t xml:space="preserve"> </w:t>
      </w:r>
      <w:proofErr w:type="spellStart"/>
      <w:r w:rsidR="00C1692C" w:rsidRPr="005E0796">
        <w:t>rapide</w:t>
      </w:r>
      <w:proofErr w:type="spellEnd"/>
      <w:r w:rsidR="00C1692C" w:rsidRPr="005E0796">
        <w:t xml:space="preserve"> </w:t>
      </w:r>
      <w:proofErr w:type="spellStart"/>
      <w:r w:rsidR="00C1692C" w:rsidRPr="005E0796">
        <w:t>realizate</w:t>
      </w:r>
      <w:proofErr w:type="spellEnd"/>
      <w:r w:rsidR="00C1692C" w:rsidRPr="005E0796">
        <w:t xml:space="preserve"> la </w:t>
      </w:r>
      <w:proofErr w:type="spellStart"/>
      <w:r w:rsidR="00C1692C" w:rsidRPr="005E0796">
        <w:t>nivelul</w:t>
      </w:r>
      <w:proofErr w:type="spellEnd"/>
      <w:r w:rsidR="00C1692C" w:rsidRPr="005E0796">
        <w:t xml:space="preserve"> </w:t>
      </w:r>
      <w:proofErr w:type="spellStart"/>
      <w:r w:rsidR="00C1692C" w:rsidRPr="005E0796">
        <w:t>comunelor</w:t>
      </w:r>
      <w:proofErr w:type="spellEnd"/>
      <w:r w:rsidR="00C1692C" w:rsidRPr="005E0796">
        <w:t xml:space="preserve">, </w:t>
      </w:r>
      <w:proofErr w:type="spellStart"/>
      <w:r w:rsidR="00C1692C" w:rsidRPr="005E0796">
        <w:t>în</w:t>
      </w:r>
      <w:proofErr w:type="spellEnd"/>
      <w:r w:rsidR="00C1692C" w:rsidRPr="005E0796">
        <w:t xml:space="preserve"> </w:t>
      </w:r>
      <w:proofErr w:type="spellStart"/>
      <w:r w:rsidR="00C1692C" w:rsidRPr="005E0796">
        <w:t>vederea</w:t>
      </w:r>
      <w:proofErr w:type="spellEnd"/>
      <w:r w:rsidR="00C1692C" w:rsidRPr="005E0796">
        <w:t xml:space="preserve"> </w:t>
      </w:r>
      <w:proofErr w:type="spellStart"/>
      <w:r w:rsidR="00C1692C" w:rsidRPr="005E0796">
        <w:t>alungării</w:t>
      </w:r>
      <w:proofErr w:type="spellEnd"/>
      <w:r w:rsidR="00C1692C" w:rsidRPr="005E0796">
        <w:t xml:space="preserve"> </w:t>
      </w:r>
      <w:proofErr w:type="spellStart"/>
      <w:r w:rsidR="00C1692C" w:rsidRPr="005E0796">
        <w:t>sau</w:t>
      </w:r>
      <w:proofErr w:type="spellEnd"/>
      <w:r w:rsidR="00C1692C" w:rsidRPr="005E0796">
        <w:t xml:space="preserve"> </w:t>
      </w:r>
      <w:proofErr w:type="spellStart"/>
      <w:r w:rsidR="00C1692C" w:rsidRPr="005E0796">
        <w:t>relocării</w:t>
      </w:r>
      <w:proofErr w:type="spellEnd"/>
      <w:r w:rsidR="00C1692C" w:rsidRPr="005E0796">
        <w:t xml:space="preserve"> </w:t>
      </w:r>
      <w:proofErr w:type="spellStart"/>
      <w:r w:rsidR="00C1692C" w:rsidRPr="005E0796">
        <w:t>exemplarelor</w:t>
      </w:r>
      <w:proofErr w:type="spellEnd"/>
      <w:r w:rsidR="00C1692C" w:rsidRPr="005E0796">
        <w:t xml:space="preserve"> de </w:t>
      </w:r>
      <w:proofErr w:type="spellStart"/>
      <w:r w:rsidR="00C1692C" w:rsidRPr="005E0796">
        <w:t>urs</w:t>
      </w:r>
      <w:proofErr w:type="spellEnd"/>
      <w:r w:rsidR="00C1692C" w:rsidRPr="005E0796">
        <w:t xml:space="preserve"> (</w:t>
      </w:r>
      <w:proofErr w:type="spellStart"/>
      <w:r w:rsidR="00C1692C" w:rsidRPr="005E0796">
        <w:t>față</w:t>
      </w:r>
      <w:proofErr w:type="spellEnd"/>
      <w:r w:rsidR="00C1692C" w:rsidRPr="005E0796">
        <w:t xml:space="preserve"> de </w:t>
      </w:r>
      <w:r w:rsidR="008B6D3D" w:rsidRPr="005E0796">
        <w:t>96</w:t>
      </w:r>
      <w:r w:rsidR="009131AE" w:rsidRPr="005E0796">
        <w:t xml:space="preserve"> </w:t>
      </w:r>
      <w:proofErr w:type="spellStart"/>
      <w:r w:rsidR="009131AE" w:rsidRPr="005E0796">
        <w:t>în</w:t>
      </w:r>
      <w:proofErr w:type="spellEnd"/>
      <w:r w:rsidR="009131AE" w:rsidRPr="005E0796">
        <w:t xml:space="preserve"> </w:t>
      </w:r>
      <w:proofErr w:type="spellStart"/>
      <w:r w:rsidR="009131AE" w:rsidRPr="005E0796">
        <w:t>anul</w:t>
      </w:r>
      <w:proofErr w:type="spellEnd"/>
      <w:r w:rsidR="009131AE" w:rsidRPr="005E0796">
        <w:t xml:space="preserve"> 202</w:t>
      </w:r>
      <w:r w:rsidR="008B6D3D" w:rsidRPr="005E0796">
        <w:t>2</w:t>
      </w:r>
      <w:r w:rsidR="00C1692C" w:rsidRPr="005E0796">
        <w:t>);</w:t>
      </w:r>
    </w:p>
    <w:p w:rsidR="00C1692C" w:rsidRPr="005E0796" w:rsidRDefault="005E0796" w:rsidP="005E0796">
      <w:pPr>
        <w:spacing w:after="160" w:line="259" w:lineRule="auto"/>
        <w:ind w:right="-1" w:firstLine="284"/>
        <w:jc w:val="both"/>
      </w:pPr>
      <w:proofErr w:type="spellStart"/>
      <w:r>
        <w:t>Î</w:t>
      </w:r>
      <w:r w:rsidR="0005440E" w:rsidRPr="005E0796">
        <w:t>n</w:t>
      </w:r>
      <w:proofErr w:type="spellEnd"/>
      <w:r w:rsidR="0005440E" w:rsidRPr="005E0796">
        <w:t xml:space="preserve"> </w:t>
      </w:r>
      <w:proofErr w:type="spellStart"/>
      <w:r w:rsidR="0005440E" w:rsidRPr="005E0796">
        <w:t>conformitate</w:t>
      </w:r>
      <w:proofErr w:type="spellEnd"/>
      <w:r w:rsidR="0005440E" w:rsidRPr="005E0796">
        <w:t xml:space="preserve"> cu </w:t>
      </w:r>
      <w:proofErr w:type="spellStart"/>
      <w:r w:rsidR="0005440E" w:rsidRPr="005E0796">
        <w:rPr>
          <w:i/>
        </w:rPr>
        <w:t>Ordinul</w:t>
      </w:r>
      <w:proofErr w:type="spellEnd"/>
      <w:r w:rsidR="0005440E" w:rsidRPr="005E0796">
        <w:rPr>
          <w:i/>
        </w:rPr>
        <w:t xml:space="preserve"> nr. 410/2008 </w:t>
      </w:r>
      <w:proofErr w:type="spellStart"/>
      <w:r w:rsidR="0005440E" w:rsidRPr="005E0796">
        <w:rPr>
          <w:i/>
        </w:rPr>
        <w:t>pentru</w:t>
      </w:r>
      <w:proofErr w:type="spellEnd"/>
      <w:r w:rsidR="0005440E" w:rsidRPr="005E0796">
        <w:rPr>
          <w:i/>
        </w:rPr>
        <w:t xml:space="preserve"> </w:t>
      </w:r>
      <w:proofErr w:type="spellStart"/>
      <w:r w:rsidR="0005440E" w:rsidRPr="005E0796">
        <w:rPr>
          <w:i/>
        </w:rPr>
        <w:t>aprobarea</w:t>
      </w:r>
      <w:proofErr w:type="spellEnd"/>
      <w:r w:rsidR="0005440E" w:rsidRPr="005E0796">
        <w:rPr>
          <w:i/>
        </w:rPr>
        <w:t xml:space="preserve"> </w:t>
      </w:r>
      <w:proofErr w:type="spellStart"/>
      <w:r w:rsidR="0005440E" w:rsidRPr="005E0796">
        <w:rPr>
          <w:i/>
        </w:rPr>
        <w:t>Procedurii</w:t>
      </w:r>
      <w:proofErr w:type="spellEnd"/>
      <w:r w:rsidR="0005440E" w:rsidRPr="005E0796">
        <w:rPr>
          <w:i/>
        </w:rPr>
        <w:t xml:space="preserve"> de </w:t>
      </w:r>
      <w:proofErr w:type="spellStart"/>
      <w:r w:rsidR="0005440E" w:rsidRPr="005E0796">
        <w:rPr>
          <w:i/>
        </w:rPr>
        <w:t>autorizare</w:t>
      </w:r>
      <w:proofErr w:type="spellEnd"/>
      <w:r w:rsidR="0005440E" w:rsidRPr="005E0796">
        <w:rPr>
          <w:i/>
        </w:rPr>
        <w:t xml:space="preserve"> a </w:t>
      </w:r>
      <w:proofErr w:type="spellStart"/>
      <w:r w:rsidR="0005440E" w:rsidRPr="005E0796">
        <w:rPr>
          <w:i/>
        </w:rPr>
        <w:t>activităţilor</w:t>
      </w:r>
      <w:proofErr w:type="spellEnd"/>
      <w:r w:rsidR="0005440E" w:rsidRPr="005E0796">
        <w:rPr>
          <w:i/>
        </w:rPr>
        <w:t xml:space="preserve"> de </w:t>
      </w:r>
      <w:proofErr w:type="spellStart"/>
      <w:r w:rsidR="0005440E" w:rsidRPr="005E0796">
        <w:rPr>
          <w:i/>
        </w:rPr>
        <w:t>recoltare</w:t>
      </w:r>
      <w:proofErr w:type="spellEnd"/>
      <w:r w:rsidR="0005440E" w:rsidRPr="005E0796">
        <w:rPr>
          <w:i/>
        </w:rPr>
        <w:t xml:space="preserve">, </w:t>
      </w:r>
      <w:proofErr w:type="spellStart"/>
      <w:r w:rsidR="0005440E" w:rsidRPr="005E0796">
        <w:rPr>
          <w:i/>
        </w:rPr>
        <w:t>capturare</w:t>
      </w:r>
      <w:proofErr w:type="spellEnd"/>
      <w:r w:rsidR="0005440E" w:rsidRPr="005E0796">
        <w:rPr>
          <w:i/>
        </w:rPr>
        <w:t xml:space="preserve"> </w:t>
      </w:r>
      <w:proofErr w:type="spellStart"/>
      <w:r w:rsidR="0005440E" w:rsidRPr="005E0796">
        <w:rPr>
          <w:i/>
        </w:rPr>
        <w:t>şi</w:t>
      </w:r>
      <w:proofErr w:type="spellEnd"/>
      <w:r w:rsidR="0005440E" w:rsidRPr="005E0796">
        <w:rPr>
          <w:i/>
        </w:rPr>
        <w:t>/</w:t>
      </w:r>
      <w:proofErr w:type="spellStart"/>
      <w:r w:rsidR="0005440E" w:rsidRPr="005E0796">
        <w:rPr>
          <w:i/>
        </w:rPr>
        <w:t>sau</w:t>
      </w:r>
      <w:proofErr w:type="spellEnd"/>
      <w:r w:rsidR="0005440E" w:rsidRPr="005E0796">
        <w:rPr>
          <w:i/>
        </w:rPr>
        <w:t xml:space="preserve"> </w:t>
      </w:r>
      <w:proofErr w:type="spellStart"/>
      <w:r w:rsidR="0005440E" w:rsidRPr="005E0796">
        <w:rPr>
          <w:i/>
        </w:rPr>
        <w:t>achiziţie</w:t>
      </w:r>
      <w:proofErr w:type="spellEnd"/>
      <w:r w:rsidR="0005440E" w:rsidRPr="005E0796">
        <w:rPr>
          <w:i/>
        </w:rPr>
        <w:t xml:space="preserve"> </w:t>
      </w:r>
      <w:proofErr w:type="spellStart"/>
      <w:r w:rsidR="0005440E" w:rsidRPr="005E0796">
        <w:rPr>
          <w:i/>
        </w:rPr>
        <w:t>şi</w:t>
      </w:r>
      <w:proofErr w:type="spellEnd"/>
      <w:r w:rsidR="0005440E" w:rsidRPr="005E0796">
        <w:rPr>
          <w:i/>
        </w:rPr>
        <w:t>/</w:t>
      </w:r>
      <w:proofErr w:type="spellStart"/>
      <w:r w:rsidR="0005440E" w:rsidRPr="005E0796">
        <w:rPr>
          <w:i/>
        </w:rPr>
        <w:t>sau</w:t>
      </w:r>
      <w:proofErr w:type="spellEnd"/>
      <w:r w:rsidR="0005440E" w:rsidRPr="005E0796">
        <w:rPr>
          <w:i/>
        </w:rPr>
        <w:t xml:space="preserve"> </w:t>
      </w:r>
      <w:proofErr w:type="spellStart"/>
      <w:r w:rsidR="0005440E" w:rsidRPr="005E0796">
        <w:rPr>
          <w:i/>
        </w:rPr>
        <w:t>comercializare</w:t>
      </w:r>
      <w:proofErr w:type="spellEnd"/>
      <w:r w:rsidR="0005440E" w:rsidRPr="005E0796">
        <w:rPr>
          <w:i/>
        </w:rPr>
        <w:t xml:space="preserve">, </w:t>
      </w:r>
      <w:proofErr w:type="spellStart"/>
      <w:r w:rsidR="0005440E" w:rsidRPr="005E0796">
        <w:rPr>
          <w:i/>
        </w:rPr>
        <w:t>pe</w:t>
      </w:r>
      <w:proofErr w:type="spellEnd"/>
      <w:r w:rsidR="0005440E" w:rsidRPr="005E0796">
        <w:rPr>
          <w:i/>
        </w:rPr>
        <w:t xml:space="preserve"> </w:t>
      </w:r>
      <w:proofErr w:type="spellStart"/>
      <w:r w:rsidR="0005440E" w:rsidRPr="005E0796">
        <w:rPr>
          <w:i/>
        </w:rPr>
        <w:t>teritoriul</w:t>
      </w:r>
      <w:proofErr w:type="spellEnd"/>
      <w:r w:rsidR="0005440E" w:rsidRPr="005E0796">
        <w:rPr>
          <w:i/>
        </w:rPr>
        <w:t xml:space="preserve"> </w:t>
      </w:r>
      <w:proofErr w:type="spellStart"/>
      <w:r w:rsidR="0005440E" w:rsidRPr="005E0796">
        <w:rPr>
          <w:i/>
        </w:rPr>
        <w:t>naţional</w:t>
      </w:r>
      <w:proofErr w:type="spellEnd"/>
      <w:r w:rsidR="0005440E" w:rsidRPr="005E0796">
        <w:rPr>
          <w:i/>
        </w:rPr>
        <w:t xml:space="preserve"> </w:t>
      </w:r>
      <w:proofErr w:type="spellStart"/>
      <w:r w:rsidR="0005440E" w:rsidRPr="005E0796">
        <w:rPr>
          <w:i/>
        </w:rPr>
        <w:t>sau</w:t>
      </w:r>
      <w:proofErr w:type="spellEnd"/>
      <w:r w:rsidR="0005440E" w:rsidRPr="005E0796">
        <w:rPr>
          <w:i/>
        </w:rPr>
        <w:t xml:space="preserve"> la export, a </w:t>
      </w:r>
      <w:proofErr w:type="spellStart"/>
      <w:r w:rsidR="0005440E" w:rsidRPr="005E0796">
        <w:rPr>
          <w:i/>
        </w:rPr>
        <w:t>florilor</w:t>
      </w:r>
      <w:proofErr w:type="spellEnd"/>
      <w:r w:rsidR="0005440E" w:rsidRPr="005E0796">
        <w:rPr>
          <w:i/>
        </w:rPr>
        <w:t xml:space="preserve"> de </w:t>
      </w:r>
      <w:proofErr w:type="spellStart"/>
      <w:r w:rsidR="0005440E" w:rsidRPr="005E0796">
        <w:rPr>
          <w:i/>
        </w:rPr>
        <w:t>mină</w:t>
      </w:r>
      <w:proofErr w:type="spellEnd"/>
      <w:r w:rsidR="0005440E" w:rsidRPr="005E0796">
        <w:rPr>
          <w:i/>
        </w:rPr>
        <w:t xml:space="preserve">, a </w:t>
      </w:r>
      <w:proofErr w:type="spellStart"/>
      <w:r w:rsidR="0005440E" w:rsidRPr="005E0796">
        <w:rPr>
          <w:i/>
        </w:rPr>
        <w:t>fosilelor</w:t>
      </w:r>
      <w:proofErr w:type="spellEnd"/>
      <w:r w:rsidR="0005440E" w:rsidRPr="005E0796">
        <w:rPr>
          <w:i/>
        </w:rPr>
        <w:t xml:space="preserve"> de </w:t>
      </w:r>
      <w:proofErr w:type="spellStart"/>
      <w:r w:rsidR="0005440E" w:rsidRPr="005E0796">
        <w:rPr>
          <w:i/>
        </w:rPr>
        <w:t>plante</w:t>
      </w:r>
      <w:proofErr w:type="spellEnd"/>
      <w:r w:rsidR="0005440E" w:rsidRPr="005E0796">
        <w:rPr>
          <w:i/>
        </w:rPr>
        <w:t xml:space="preserve"> </w:t>
      </w:r>
      <w:proofErr w:type="spellStart"/>
      <w:r w:rsidR="0005440E" w:rsidRPr="005E0796">
        <w:rPr>
          <w:i/>
        </w:rPr>
        <w:t>şi</w:t>
      </w:r>
      <w:proofErr w:type="spellEnd"/>
      <w:r w:rsidR="0005440E" w:rsidRPr="005E0796">
        <w:rPr>
          <w:i/>
        </w:rPr>
        <w:t xml:space="preserve"> </w:t>
      </w:r>
      <w:proofErr w:type="spellStart"/>
      <w:r w:rsidR="0005440E" w:rsidRPr="005E0796">
        <w:rPr>
          <w:i/>
        </w:rPr>
        <w:t>fosilelor</w:t>
      </w:r>
      <w:proofErr w:type="spellEnd"/>
      <w:r w:rsidR="0005440E" w:rsidRPr="005E0796">
        <w:rPr>
          <w:i/>
        </w:rPr>
        <w:t xml:space="preserve"> de </w:t>
      </w:r>
      <w:proofErr w:type="spellStart"/>
      <w:r w:rsidR="0005440E" w:rsidRPr="005E0796">
        <w:rPr>
          <w:i/>
        </w:rPr>
        <w:t>animale</w:t>
      </w:r>
      <w:proofErr w:type="spellEnd"/>
      <w:r w:rsidR="0005440E" w:rsidRPr="005E0796">
        <w:rPr>
          <w:i/>
        </w:rPr>
        <w:t xml:space="preserve"> vertebrate </w:t>
      </w:r>
      <w:proofErr w:type="spellStart"/>
      <w:r w:rsidR="0005440E" w:rsidRPr="005E0796">
        <w:rPr>
          <w:i/>
        </w:rPr>
        <w:t>şi</w:t>
      </w:r>
      <w:proofErr w:type="spellEnd"/>
      <w:r w:rsidR="0005440E" w:rsidRPr="005E0796">
        <w:rPr>
          <w:i/>
        </w:rPr>
        <w:t xml:space="preserve"> </w:t>
      </w:r>
      <w:proofErr w:type="spellStart"/>
      <w:r w:rsidR="0005440E" w:rsidRPr="005E0796">
        <w:rPr>
          <w:i/>
        </w:rPr>
        <w:t>nevertebrate</w:t>
      </w:r>
      <w:proofErr w:type="spellEnd"/>
      <w:r w:rsidR="0005440E" w:rsidRPr="005E0796">
        <w:rPr>
          <w:i/>
        </w:rPr>
        <w:t xml:space="preserve">, </w:t>
      </w:r>
      <w:proofErr w:type="spellStart"/>
      <w:r w:rsidR="0005440E" w:rsidRPr="005E0796">
        <w:rPr>
          <w:i/>
        </w:rPr>
        <w:t>precum</w:t>
      </w:r>
      <w:proofErr w:type="spellEnd"/>
      <w:r w:rsidR="0005440E" w:rsidRPr="005E0796">
        <w:rPr>
          <w:i/>
        </w:rPr>
        <w:t xml:space="preserve"> </w:t>
      </w:r>
      <w:proofErr w:type="spellStart"/>
      <w:r w:rsidR="0005440E" w:rsidRPr="005E0796">
        <w:rPr>
          <w:i/>
        </w:rPr>
        <w:t>şi</w:t>
      </w:r>
      <w:proofErr w:type="spellEnd"/>
      <w:r w:rsidR="0005440E" w:rsidRPr="005E0796">
        <w:rPr>
          <w:i/>
        </w:rPr>
        <w:t xml:space="preserve"> a </w:t>
      </w:r>
      <w:proofErr w:type="spellStart"/>
      <w:r w:rsidR="0005440E" w:rsidRPr="005E0796">
        <w:rPr>
          <w:i/>
        </w:rPr>
        <w:t>plantelor</w:t>
      </w:r>
      <w:proofErr w:type="spellEnd"/>
      <w:r w:rsidR="0005440E" w:rsidRPr="005E0796">
        <w:rPr>
          <w:i/>
        </w:rPr>
        <w:t xml:space="preserve"> </w:t>
      </w:r>
      <w:proofErr w:type="spellStart"/>
      <w:r w:rsidR="0005440E" w:rsidRPr="005E0796">
        <w:rPr>
          <w:i/>
        </w:rPr>
        <w:t>şi</w:t>
      </w:r>
      <w:proofErr w:type="spellEnd"/>
      <w:r w:rsidR="0005440E" w:rsidRPr="005E0796">
        <w:rPr>
          <w:i/>
        </w:rPr>
        <w:t xml:space="preserve"> </w:t>
      </w:r>
      <w:proofErr w:type="spellStart"/>
      <w:r w:rsidR="0005440E" w:rsidRPr="005E0796">
        <w:rPr>
          <w:i/>
        </w:rPr>
        <w:t>animalelor</w:t>
      </w:r>
      <w:proofErr w:type="spellEnd"/>
      <w:r w:rsidR="0005440E" w:rsidRPr="005E0796">
        <w:rPr>
          <w:i/>
        </w:rPr>
        <w:t xml:space="preserve"> din flora </w:t>
      </w:r>
      <w:proofErr w:type="spellStart"/>
      <w:r w:rsidR="0005440E" w:rsidRPr="005E0796">
        <w:rPr>
          <w:i/>
        </w:rPr>
        <w:t>şi</w:t>
      </w:r>
      <w:proofErr w:type="spellEnd"/>
      <w:r w:rsidR="0005440E" w:rsidRPr="005E0796">
        <w:rPr>
          <w:i/>
        </w:rPr>
        <w:t xml:space="preserve">, </w:t>
      </w:r>
      <w:proofErr w:type="spellStart"/>
      <w:r w:rsidR="0005440E" w:rsidRPr="005E0796">
        <w:rPr>
          <w:i/>
        </w:rPr>
        <w:t>respectiv</w:t>
      </w:r>
      <w:proofErr w:type="spellEnd"/>
      <w:r w:rsidR="0005440E" w:rsidRPr="005E0796">
        <w:rPr>
          <w:i/>
        </w:rPr>
        <w:t>, fauna</w:t>
      </w:r>
      <w:r w:rsidR="0005440E" w:rsidRPr="005E0796">
        <w:rPr>
          <w:i/>
        </w:rPr>
        <w:br/>
      </w:r>
      <w:proofErr w:type="spellStart"/>
      <w:r w:rsidR="0005440E" w:rsidRPr="005E0796">
        <w:rPr>
          <w:i/>
        </w:rPr>
        <w:t>sălbatice</w:t>
      </w:r>
      <w:proofErr w:type="spellEnd"/>
      <w:r w:rsidR="0005440E" w:rsidRPr="005E0796">
        <w:rPr>
          <w:i/>
        </w:rPr>
        <w:t xml:space="preserve"> </w:t>
      </w:r>
      <w:proofErr w:type="spellStart"/>
      <w:r w:rsidR="0005440E" w:rsidRPr="005E0796">
        <w:rPr>
          <w:i/>
        </w:rPr>
        <w:t>şi</w:t>
      </w:r>
      <w:proofErr w:type="spellEnd"/>
      <w:r w:rsidR="0005440E" w:rsidRPr="005E0796">
        <w:rPr>
          <w:i/>
        </w:rPr>
        <w:t xml:space="preserve"> a </w:t>
      </w:r>
      <w:proofErr w:type="spellStart"/>
      <w:r w:rsidR="0005440E" w:rsidRPr="005E0796">
        <w:rPr>
          <w:i/>
        </w:rPr>
        <w:t>importului</w:t>
      </w:r>
      <w:proofErr w:type="spellEnd"/>
      <w:r w:rsidR="0005440E" w:rsidRPr="005E0796">
        <w:rPr>
          <w:i/>
        </w:rPr>
        <w:t xml:space="preserve"> </w:t>
      </w:r>
      <w:proofErr w:type="spellStart"/>
      <w:r w:rsidR="0005440E" w:rsidRPr="005E0796">
        <w:rPr>
          <w:i/>
        </w:rPr>
        <w:t>acestora</w:t>
      </w:r>
      <w:proofErr w:type="spellEnd"/>
      <w:r w:rsidR="00F50135" w:rsidRPr="005E0796">
        <w:t xml:space="preserve">, au </w:t>
      </w:r>
      <w:proofErr w:type="spellStart"/>
      <w:r w:rsidR="00F50135" w:rsidRPr="005E0796">
        <w:t>fost</w:t>
      </w:r>
      <w:proofErr w:type="spellEnd"/>
      <w:r w:rsidR="00F50135" w:rsidRPr="005E0796">
        <w:t xml:space="preserve"> </w:t>
      </w:r>
      <w:proofErr w:type="spellStart"/>
      <w:r w:rsidR="00F50135" w:rsidRPr="005E0796">
        <w:t>emise</w:t>
      </w:r>
      <w:proofErr w:type="spellEnd"/>
      <w:r w:rsidR="0005440E" w:rsidRPr="005E0796">
        <w:t xml:space="preserve"> </w:t>
      </w:r>
      <w:r w:rsidR="00C1692C" w:rsidRPr="005E0796">
        <w:t>2</w:t>
      </w:r>
      <w:r w:rsidR="00F50135" w:rsidRPr="005E0796">
        <w:t>7</w:t>
      </w:r>
      <w:r w:rsidR="00C1692C" w:rsidRPr="005E0796">
        <w:t xml:space="preserve"> de </w:t>
      </w:r>
      <w:proofErr w:type="spellStart"/>
      <w:r w:rsidR="00C1692C" w:rsidRPr="005E0796">
        <w:t>autorizații</w:t>
      </w:r>
      <w:proofErr w:type="spellEnd"/>
      <w:r w:rsidR="00670F3D" w:rsidRPr="005E0796">
        <w:t xml:space="preserve"> (</w:t>
      </w:r>
      <w:proofErr w:type="spellStart"/>
      <w:r w:rsidR="00670F3D" w:rsidRPr="005E0796">
        <w:t>față</w:t>
      </w:r>
      <w:proofErr w:type="spellEnd"/>
      <w:r w:rsidR="00670F3D" w:rsidRPr="005E0796">
        <w:t xml:space="preserve"> de 2</w:t>
      </w:r>
      <w:r w:rsidR="00BF74A3" w:rsidRPr="005E0796">
        <w:t>7</w:t>
      </w:r>
      <w:r w:rsidR="00670F3D" w:rsidRPr="005E0796">
        <w:t xml:space="preserve"> </w:t>
      </w:r>
      <w:proofErr w:type="spellStart"/>
      <w:r w:rsidR="00670F3D" w:rsidRPr="005E0796">
        <w:t>în</w:t>
      </w:r>
      <w:proofErr w:type="spellEnd"/>
      <w:r w:rsidR="00670F3D" w:rsidRPr="005E0796">
        <w:t xml:space="preserve"> </w:t>
      </w:r>
      <w:proofErr w:type="spellStart"/>
      <w:r w:rsidR="00670F3D" w:rsidRPr="005E0796">
        <w:t>anul</w:t>
      </w:r>
      <w:proofErr w:type="spellEnd"/>
      <w:r w:rsidR="00670F3D" w:rsidRPr="005E0796">
        <w:t xml:space="preserve"> 202</w:t>
      </w:r>
      <w:r w:rsidR="00BF74A3" w:rsidRPr="005E0796">
        <w:t>2</w:t>
      </w:r>
      <w:r w:rsidR="00670F3D" w:rsidRPr="005E0796">
        <w:t>)</w:t>
      </w:r>
      <w:r w:rsidR="00F50135" w:rsidRPr="005E0796">
        <w:t xml:space="preserve">, din care: 5 </w:t>
      </w:r>
      <w:proofErr w:type="spellStart"/>
      <w:r w:rsidR="00F50135" w:rsidRPr="005E0796">
        <w:t>autorizații</w:t>
      </w:r>
      <w:proofErr w:type="spellEnd"/>
      <w:r w:rsidR="00F50135" w:rsidRPr="005E0796">
        <w:t xml:space="preserve"> </w:t>
      </w:r>
      <w:proofErr w:type="spellStart"/>
      <w:r w:rsidR="00F50135" w:rsidRPr="005E0796">
        <w:t>pentru</w:t>
      </w:r>
      <w:proofErr w:type="spellEnd"/>
      <w:r w:rsidR="00F50135" w:rsidRPr="005E0796">
        <w:t xml:space="preserve"> </w:t>
      </w:r>
      <w:proofErr w:type="spellStart"/>
      <w:r w:rsidR="00F50135" w:rsidRPr="005E0796">
        <w:t>recoltare</w:t>
      </w:r>
      <w:proofErr w:type="spellEnd"/>
      <w:r w:rsidR="00F50135" w:rsidRPr="005E0796">
        <w:t xml:space="preserve"> flora </w:t>
      </w:r>
      <w:proofErr w:type="spellStart"/>
      <w:r w:rsidR="00F50135" w:rsidRPr="005E0796">
        <w:t>sălbatică</w:t>
      </w:r>
      <w:proofErr w:type="spellEnd"/>
      <w:r w:rsidR="00F50135" w:rsidRPr="005E0796">
        <w:t xml:space="preserve"> (</w:t>
      </w:r>
      <w:proofErr w:type="spellStart"/>
      <w:r w:rsidR="00F50135" w:rsidRPr="005E0796">
        <w:t>plante</w:t>
      </w:r>
      <w:proofErr w:type="spellEnd"/>
      <w:r w:rsidR="00F50135" w:rsidRPr="005E0796">
        <w:t xml:space="preserve"> </w:t>
      </w:r>
      <w:proofErr w:type="spellStart"/>
      <w:r w:rsidR="00F50135" w:rsidRPr="005E0796">
        <w:t>medicinale</w:t>
      </w:r>
      <w:proofErr w:type="spellEnd"/>
      <w:r w:rsidR="006D3E9C" w:rsidRPr="005E0796">
        <w:t xml:space="preserve">, </w:t>
      </w:r>
      <w:proofErr w:type="spellStart"/>
      <w:r w:rsidR="006D3E9C" w:rsidRPr="005E0796">
        <w:t>fructe</w:t>
      </w:r>
      <w:proofErr w:type="spellEnd"/>
      <w:r w:rsidR="006D3E9C" w:rsidRPr="005E0796">
        <w:t xml:space="preserve"> de </w:t>
      </w:r>
      <w:proofErr w:type="spellStart"/>
      <w:r w:rsidR="006D3E9C" w:rsidRPr="005E0796">
        <w:t>pădure</w:t>
      </w:r>
      <w:proofErr w:type="spellEnd"/>
      <w:r w:rsidR="006D3E9C" w:rsidRPr="005E0796">
        <w:t xml:space="preserve">, </w:t>
      </w:r>
      <w:proofErr w:type="spellStart"/>
      <w:r w:rsidR="006D3E9C" w:rsidRPr="005E0796">
        <w:t>ciuperci</w:t>
      </w:r>
      <w:proofErr w:type="spellEnd"/>
      <w:r w:rsidR="00F50135" w:rsidRPr="005E0796">
        <w:t xml:space="preserve"> </w:t>
      </w:r>
      <w:proofErr w:type="spellStart"/>
      <w:r w:rsidR="00F50135" w:rsidRPr="005E0796">
        <w:t>și</w:t>
      </w:r>
      <w:proofErr w:type="spellEnd"/>
      <w:r w:rsidR="00F50135" w:rsidRPr="005E0796">
        <w:t xml:space="preserve"> </w:t>
      </w:r>
      <w:proofErr w:type="spellStart"/>
      <w:r w:rsidR="00F50135" w:rsidRPr="005E0796">
        <w:t>nuci</w:t>
      </w:r>
      <w:proofErr w:type="spellEnd"/>
      <w:r w:rsidR="00F50135" w:rsidRPr="005E0796">
        <w:t>), 1</w:t>
      </w:r>
      <w:r w:rsidR="00BF74A3" w:rsidRPr="005E0796">
        <w:t>5</w:t>
      </w:r>
      <w:r w:rsidR="00F50135" w:rsidRPr="005E0796">
        <w:t xml:space="preserve"> </w:t>
      </w:r>
      <w:proofErr w:type="spellStart"/>
      <w:r w:rsidR="00F50135" w:rsidRPr="005E0796">
        <w:t>autorizații</w:t>
      </w:r>
      <w:proofErr w:type="spellEnd"/>
      <w:r w:rsidR="00F50135" w:rsidRPr="005E0796">
        <w:t xml:space="preserve"> </w:t>
      </w:r>
      <w:proofErr w:type="spellStart"/>
      <w:r w:rsidR="00F50135" w:rsidRPr="005E0796">
        <w:t>pentru</w:t>
      </w:r>
      <w:proofErr w:type="spellEnd"/>
      <w:r w:rsidR="00F50135" w:rsidRPr="005E0796">
        <w:t xml:space="preserve"> </w:t>
      </w:r>
      <w:proofErr w:type="spellStart"/>
      <w:r w:rsidR="00F50135" w:rsidRPr="005E0796">
        <w:t>recoltare</w:t>
      </w:r>
      <w:proofErr w:type="spellEnd"/>
      <w:r w:rsidR="00F50135" w:rsidRPr="005E0796">
        <w:t xml:space="preserve"> </w:t>
      </w:r>
      <w:proofErr w:type="spellStart"/>
      <w:r w:rsidR="00F50135" w:rsidRPr="005E0796">
        <w:t>specii</w:t>
      </w:r>
      <w:proofErr w:type="spellEnd"/>
      <w:r w:rsidR="00F50135" w:rsidRPr="005E0796">
        <w:t xml:space="preserve"> </w:t>
      </w:r>
      <w:proofErr w:type="spellStart"/>
      <w:r w:rsidR="00F50135" w:rsidRPr="005E0796">
        <w:t>cinegetice</w:t>
      </w:r>
      <w:proofErr w:type="spellEnd"/>
      <w:r w:rsidR="00F50135" w:rsidRPr="005E0796">
        <w:t xml:space="preserve"> </w:t>
      </w:r>
      <w:proofErr w:type="spellStart"/>
      <w:r w:rsidR="00F50135" w:rsidRPr="005E0796">
        <w:t>comune</w:t>
      </w:r>
      <w:proofErr w:type="spellEnd"/>
      <w:r w:rsidR="00F50135" w:rsidRPr="005E0796">
        <w:t xml:space="preserve"> </w:t>
      </w:r>
      <w:proofErr w:type="spellStart"/>
      <w:r w:rsidR="00F50135" w:rsidRPr="005E0796">
        <w:t>și</w:t>
      </w:r>
      <w:proofErr w:type="spellEnd"/>
      <w:r w:rsidR="00F50135" w:rsidRPr="005E0796">
        <w:t xml:space="preserve"> </w:t>
      </w:r>
      <w:r w:rsidR="00BF74A3" w:rsidRPr="005E0796">
        <w:rPr>
          <w:b/>
        </w:rPr>
        <w:t>7</w:t>
      </w:r>
      <w:r w:rsidR="003C5990" w:rsidRPr="005E0796">
        <w:rPr>
          <w:b/>
        </w:rPr>
        <w:t xml:space="preserve"> </w:t>
      </w:r>
      <w:proofErr w:type="spellStart"/>
      <w:r w:rsidR="00794D9F" w:rsidRPr="005E0796">
        <w:rPr>
          <w:b/>
        </w:rPr>
        <w:t>autorizații</w:t>
      </w:r>
      <w:proofErr w:type="spellEnd"/>
      <w:r w:rsidR="00794D9F" w:rsidRPr="005E0796">
        <w:rPr>
          <w:b/>
        </w:rPr>
        <w:t xml:space="preserve"> </w:t>
      </w:r>
      <w:proofErr w:type="spellStart"/>
      <w:r w:rsidR="00794D9F" w:rsidRPr="005E0796">
        <w:rPr>
          <w:b/>
        </w:rPr>
        <w:t>pentru</w:t>
      </w:r>
      <w:proofErr w:type="spellEnd"/>
      <w:r w:rsidR="00794D9F" w:rsidRPr="005E0796">
        <w:rPr>
          <w:b/>
        </w:rPr>
        <w:t xml:space="preserve"> </w:t>
      </w:r>
      <w:proofErr w:type="spellStart"/>
      <w:r w:rsidR="00794D9F" w:rsidRPr="005E0796">
        <w:rPr>
          <w:b/>
        </w:rPr>
        <w:t>recoltare</w:t>
      </w:r>
      <w:proofErr w:type="spellEnd"/>
      <w:r w:rsidR="00794D9F" w:rsidRPr="005E0796">
        <w:rPr>
          <w:b/>
        </w:rPr>
        <w:t xml:space="preserve"> carnivore </w:t>
      </w:r>
      <w:proofErr w:type="spellStart"/>
      <w:r w:rsidR="00794D9F" w:rsidRPr="005E0796">
        <w:rPr>
          <w:b/>
        </w:rPr>
        <w:t>protejate</w:t>
      </w:r>
      <w:proofErr w:type="spellEnd"/>
      <w:r w:rsidR="00794D9F" w:rsidRPr="005E0796">
        <w:t xml:space="preserve"> (</w:t>
      </w:r>
      <w:proofErr w:type="spellStart"/>
      <w:r w:rsidR="00794D9F" w:rsidRPr="005E0796">
        <w:t>urs</w:t>
      </w:r>
      <w:proofErr w:type="spellEnd"/>
      <w:r w:rsidR="00CC1FAF" w:rsidRPr="005E0796">
        <w:t xml:space="preserve"> </w:t>
      </w:r>
      <w:r w:rsidR="002B23AB" w:rsidRPr="005E0796">
        <w:t>-</w:t>
      </w:r>
      <w:r w:rsidR="00CC1FAF" w:rsidRPr="005E0796">
        <w:t xml:space="preserve"> </w:t>
      </w:r>
      <w:proofErr w:type="spellStart"/>
      <w:r w:rsidR="00794D9F" w:rsidRPr="005E0796">
        <w:t>în</w:t>
      </w:r>
      <w:proofErr w:type="spellEnd"/>
      <w:r w:rsidR="00794D9F" w:rsidRPr="005E0796">
        <w:t xml:space="preserve"> </w:t>
      </w:r>
      <w:proofErr w:type="spellStart"/>
      <w:r w:rsidR="00794D9F" w:rsidRPr="005E0796">
        <w:t>baza</w:t>
      </w:r>
      <w:proofErr w:type="spellEnd"/>
      <w:r w:rsidR="00C1692C" w:rsidRPr="005E0796">
        <w:t xml:space="preserve"> </w:t>
      </w:r>
      <w:proofErr w:type="spellStart"/>
      <w:r w:rsidR="003C5990" w:rsidRPr="005E0796">
        <w:t>Ordinului</w:t>
      </w:r>
      <w:proofErr w:type="spellEnd"/>
      <w:r w:rsidR="003C5990" w:rsidRPr="005E0796">
        <w:t xml:space="preserve"> nr. </w:t>
      </w:r>
      <w:r w:rsidR="00CC1FAF" w:rsidRPr="005E0796">
        <w:t>2183</w:t>
      </w:r>
      <w:r w:rsidR="003C5990" w:rsidRPr="005E0796">
        <w:t>/202</w:t>
      </w:r>
      <w:r w:rsidR="00CC1FAF" w:rsidRPr="005E0796">
        <w:t>3</w:t>
      </w:r>
      <w:r w:rsidR="003C5990" w:rsidRPr="005E0796">
        <w:t xml:space="preserve"> </w:t>
      </w:r>
      <w:proofErr w:type="spellStart"/>
      <w:r w:rsidR="003C5990" w:rsidRPr="005E0796">
        <w:rPr>
          <w:rStyle w:val="shdr"/>
        </w:rPr>
        <w:t>pentru</w:t>
      </w:r>
      <w:proofErr w:type="spellEnd"/>
      <w:r w:rsidR="003C5990" w:rsidRPr="005E0796">
        <w:rPr>
          <w:rStyle w:val="shdr"/>
        </w:rPr>
        <w:t xml:space="preserve"> </w:t>
      </w:r>
      <w:proofErr w:type="spellStart"/>
      <w:r w:rsidR="003C5990" w:rsidRPr="005E0796">
        <w:rPr>
          <w:rStyle w:val="shdr"/>
        </w:rPr>
        <w:t>aprobarea</w:t>
      </w:r>
      <w:proofErr w:type="spellEnd"/>
      <w:r w:rsidR="003C5990" w:rsidRPr="005E0796">
        <w:rPr>
          <w:rStyle w:val="shdr"/>
        </w:rPr>
        <w:t xml:space="preserve"> </w:t>
      </w:r>
      <w:proofErr w:type="spellStart"/>
      <w:r w:rsidR="003C5990" w:rsidRPr="005E0796">
        <w:rPr>
          <w:rStyle w:val="shdr"/>
        </w:rPr>
        <w:t>nivelului</w:t>
      </w:r>
      <w:proofErr w:type="spellEnd"/>
      <w:r w:rsidR="003C5990" w:rsidRPr="005E0796">
        <w:rPr>
          <w:rStyle w:val="shdr"/>
        </w:rPr>
        <w:t xml:space="preserve"> de </w:t>
      </w:r>
      <w:proofErr w:type="spellStart"/>
      <w:r w:rsidR="003C5990" w:rsidRPr="005E0796">
        <w:rPr>
          <w:rStyle w:val="shdr"/>
        </w:rPr>
        <w:t>intervenție</w:t>
      </w:r>
      <w:proofErr w:type="spellEnd"/>
      <w:r w:rsidR="003C5990" w:rsidRPr="005E0796">
        <w:rPr>
          <w:rStyle w:val="shdr"/>
        </w:rPr>
        <w:t xml:space="preserve"> </w:t>
      </w:r>
      <w:proofErr w:type="spellStart"/>
      <w:r w:rsidR="003C5990" w:rsidRPr="005E0796">
        <w:rPr>
          <w:rStyle w:val="shdr"/>
        </w:rPr>
        <w:t>și</w:t>
      </w:r>
      <w:proofErr w:type="spellEnd"/>
      <w:r w:rsidR="003C5990" w:rsidRPr="005E0796">
        <w:rPr>
          <w:rStyle w:val="shdr"/>
        </w:rPr>
        <w:t xml:space="preserve"> de </w:t>
      </w:r>
      <w:proofErr w:type="spellStart"/>
      <w:r w:rsidR="003C5990" w:rsidRPr="005E0796">
        <w:rPr>
          <w:rStyle w:val="shdr"/>
        </w:rPr>
        <w:t>prevenție</w:t>
      </w:r>
      <w:proofErr w:type="spellEnd"/>
      <w:r w:rsidR="003C5990" w:rsidRPr="005E0796">
        <w:rPr>
          <w:rStyle w:val="shdr"/>
        </w:rPr>
        <w:t xml:space="preserve"> </w:t>
      </w:r>
      <w:proofErr w:type="spellStart"/>
      <w:r w:rsidR="003C5990" w:rsidRPr="005E0796">
        <w:rPr>
          <w:rStyle w:val="shdr"/>
        </w:rPr>
        <w:t>în</w:t>
      </w:r>
      <w:proofErr w:type="spellEnd"/>
      <w:r w:rsidR="003C5990" w:rsidRPr="005E0796">
        <w:rPr>
          <w:rStyle w:val="shdr"/>
        </w:rPr>
        <w:t xml:space="preserve"> </w:t>
      </w:r>
      <w:proofErr w:type="spellStart"/>
      <w:r w:rsidR="003C5990" w:rsidRPr="005E0796">
        <w:rPr>
          <w:rStyle w:val="shdr"/>
        </w:rPr>
        <w:t>cazul</w:t>
      </w:r>
      <w:proofErr w:type="spellEnd"/>
      <w:r w:rsidR="003C5990" w:rsidRPr="005E0796">
        <w:rPr>
          <w:rStyle w:val="shdr"/>
        </w:rPr>
        <w:t xml:space="preserve"> </w:t>
      </w:r>
      <w:proofErr w:type="spellStart"/>
      <w:r w:rsidR="003C5990" w:rsidRPr="005E0796">
        <w:rPr>
          <w:rStyle w:val="shdr"/>
        </w:rPr>
        <w:t>speciei</w:t>
      </w:r>
      <w:proofErr w:type="spellEnd"/>
      <w:r w:rsidR="003C5990" w:rsidRPr="005E0796">
        <w:rPr>
          <w:rStyle w:val="shdr"/>
        </w:rPr>
        <w:t xml:space="preserve"> </w:t>
      </w:r>
      <w:proofErr w:type="spellStart"/>
      <w:r w:rsidR="003C5990" w:rsidRPr="005E0796">
        <w:rPr>
          <w:rStyle w:val="shdr"/>
        </w:rPr>
        <w:t>urs</w:t>
      </w:r>
      <w:proofErr w:type="spellEnd"/>
      <w:r w:rsidR="003C5990" w:rsidRPr="005E0796">
        <w:rPr>
          <w:rStyle w:val="shdr"/>
        </w:rPr>
        <w:t xml:space="preserve"> </w:t>
      </w:r>
      <w:proofErr w:type="spellStart"/>
      <w:r w:rsidR="003C5990" w:rsidRPr="005E0796">
        <w:rPr>
          <w:rStyle w:val="shdr"/>
        </w:rPr>
        <w:t>brun</w:t>
      </w:r>
      <w:proofErr w:type="spellEnd"/>
      <w:r w:rsidR="003C5990" w:rsidRPr="005E0796">
        <w:rPr>
          <w:rStyle w:val="shdr"/>
        </w:rPr>
        <w:t xml:space="preserve"> (</w:t>
      </w:r>
      <w:proofErr w:type="spellStart"/>
      <w:r w:rsidR="003C5990" w:rsidRPr="005E0796">
        <w:rPr>
          <w:rStyle w:val="shdr"/>
        </w:rPr>
        <w:t>Ursus</w:t>
      </w:r>
      <w:proofErr w:type="spellEnd"/>
      <w:r w:rsidR="003C5990" w:rsidRPr="005E0796">
        <w:rPr>
          <w:rStyle w:val="shdr"/>
        </w:rPr>
        <w:t xml:space="preserve"> </w:t>
      </w:r>
      <w:proofErr w:type="spellStart"/>
      <w:r w:rsidR="003C5990" w:rsidRPr="005E0796">
        <w:rPr>
          <w:rStyle w:val="shdr"/>
        </w:rPr>
        <w:t>arctos</w:t>
      </w:r>
      <w:proofErr w:type="spellEnd"/>
      <w:r w:rsidR="003C5990" w:rsidRPr="005E0796">
        <w:rPr>
          <w:rStyle w:val="shdr"/>
        </w:rPr>
        <w:t xml:space="preserve">), </w:t>
      </w:r>
      <w:proofErr w:type="spellStart"/>
      <w:r w:rsidR="003C5990" w:rsidRPr="005E0796">
        <w:rPr>
          <w:rStyle w:val="shdr"/>
        </w:rPr>
        <w:t>în</w:t>
      </w:r>
      <w:proofErr w:type="spellEnd"/>
      <w:r w:rsidR="003C5990" w:rsidRPr="005E0796">
        <w:rPr>
          <w:rStyle w:val="shdr"/>
        </w:rPr>
        <w:t xml:space="preserve"> </w:t>
      </w:r>
      <w:proofErr w:type="spellStart"/>
      <w:r w:rsidR="003C5990" w:rsidRPr="005E0796">
        <w:rPr>
          <w:rStyle w:val="shdr"/>
        </w:rPr>
        <w:t>interesul</w:t>
      </w:r>
      <w:proofErr w:type="spellEnd"/>
      <w:r w:rsidR="003C5990" w:rsidRPr="005E0796">
        <w:rPr>
          <w:rStyle w:val="shdr"/>
        </w:rPr>
        <w:t xml:space="preserve"> </w:t>
      </w:r>
      <w:proofErr w:type="spellStart"/>
      <w:r w:rsidR="003C5990" w:rsidRPr="005E0796">
        <w:rPr>
          <w:rStyle w:val="shdr"/>
        </w:rPr>
        <w:t>sănătății</w:t>
      </w:r>
      <w:proofErr w:type="spellEnd"/>
      <w:r w:rsidR="003C5990" w:rsidRPr="005E0796">
        <w:rPr>
          <w:rStyle w:val="shdr"/>
        </w:rPr>
        <w:t xml:space="preserve"> </w:t>
      </w:r>
      <w:proofErr w:type="spellStart"/>
      <w:r w:rsidR="003C5990" w:rsidRPr="005E0796">
        <w:rPr>
          <w:rStyle w:val="shdr"/>
        </w:rPr>
        <w:t>și</w:t>
      </w:r>
      <w:proofErr w:type="spellEnd"/>
      <w:r w:rsidR="003C5990" w:rsidRPr="005E0796">
        <w:rPr>
          <w:rStyle w:val="shdr"/>
        </w:rPr>
        <w:t xml:space="preserve"> </w:t>
      </w:r>
      <w:proofErr w:type="spellStart"/>
      <w:r w:rsidR="003C5990" w:rsidRPr="005E0796">
        <w:rPr>
          <w:rStyle w:val="shdr"/>
        </w:rPr>
        <w:t>securității</w:t>
      </w:r>
      <w:proofErr w:type="spellEnd"/>
      <w:r w:rsidR="003C5990" w:rsidRPr="005E0796">
        <w:rPr>
          <w:rStyle w:val="shdr"/>
        </w:rPr>
        <w:t xml:space="preserve"> </w:t>
      </w:r>
      <w:proofErr w:type="spellStart"/>
      <w:r w:rsidR="003C5990" w:rsidRPr="005E0796">
        <w:rPr>
          <w:rStyle w:val="shdr"/>
        </w:rPr>
        <w:t>populației</w:t>
      </w:r>
      <w:proofErr w:type="spellEnd"/>
      <w:r w:rsidR="003C5990" w:rsidRPr="005E0796">
        <w:rPr>
          <w:rStyle w:val="shdr"/>
        </w:rPr>
        <w:t xml:space="preserve"> </w:t>
      </w:r>
      <w:proofErr w:type="spellStart"/>
      <w:r w:rsidR="003C5990" w:rsidRPr="005E0796">
        <w:rPr>
          <w:rStyle w:val="shdr"/>
        </w:rPr>
        <w:t>și</w:t>
      </w:r>
      <w:proofErr w:type="spellEnd"/>
      <w:r w:rsidR="003C5990" w:rsidRPr="005E0796">
        <w:rPr>
          <w:rStyle w:val="shdr"/>
        </w:rPr>
        <w:t xml:space="preserve"> </w:t>
      </w:r>
      <w:proofErr w:type="spellStart"/>
      <w:r w:rsidR="003C5990" w:rsidRPr="005E0796">
        <w:rPr>
          <w:rStyle w:val="shdr"/>
        </w:rPr>
        <w:t>în</w:t>
      </w:r>
      <w:proofErr w:type="spellEnd"/>
      <w:r w:rsidR="003C5990" w:rsidRPr="005E0796">
        <w:rPr>
          <w:rStyle w:val="shdr"/>
        </w:rPr>
        <w:t xml:space="preserve"> </w:t>
      </w:r>
      <w:proofErr w:type="spellStart"/>
      <w:r w:rsidR="003C5990" w:rsidRPr="005E0796">
        <w:rPr>
          <w:rStyle w:val="shdr"/>
        </w:rPr>
        <w:t>scopul</w:t>
      </w:r>
      <w:proofErr w:type="spellEnd"/>
      <w:r w:rsidR="003C5990" w:rsidRPr="005E0796">
        <w:rPr>
          <w:rStyle w:val="shdr"/>
        </w:rPr>
        <w:t xml:space="preserve"> </w:t>
      </w:r>
      <w:proofErr w:type="spellStart"/>
      <w:r w:rsidR="003C5990" w:rsidRPr="005E0796">
        <w:rPr>
          <w:rStyle w:val="shdr"/>
        </w:rPr>
        <w:t>prevenirii</w:t>
      </w:r>
      <w:proofErr w:type="spellEnd"/>
      <w:r w:rsidR="003C5990" w:rsidRPr="005E0796">
        <w:rPr>
          <w:rStyle w:val="shdr"/>
        </w:rPr>
        <w:t xml:space="preserve"> </w:t>
      </w:r>
      <w:proofErr w:type="spellStart"/>
      <w:r w:rsidR="003C5990" w:rsidRPr="005E0796">
        <w:rPr>
          <w:rStyle w:val="shdr"/>
        </w:rPr>
        <w:t>unor</w:t>
      </w:r>
      <w:proofErr w:type="spellEnd"/>
      <w:r w:rsidR="003C5990" w:rsidRPr="005E0796">
        <w:rPr>
          <w:rStyle w:val="shdr"/>
        </w:rPr>
        <w:t xml:space="preserve"> </w:t>
      </w:r>
      <w:proofErr w:type="spellStart"/>
      <w:r w:rsidR="003C5990" w:rsidRPr="005E0796">
        <w:rPr>
          <w:rStyle w:val="shdr"/>
        </w:rPr>
        <w:t>daune</w:t>
      </w:r>
      <w:proofErr w:type="spellEnd"/>
      <w:r w:rsidR="003C5990" w:rsidRPr="005E0796">
        <w:rPr>
          <w:rStyle w:val="shdr"/>
        </w:rPr>
        <w:t xml:space="preserve"> </w:t>
      </w:r>
      <w:proofErr w:type="spellStart"/>
      <w:r w:rsidR="003C5990" w:rsidRPr="005E0796">
        <w:rPr>
          <w:rStyle w:val="shdr"/>
        </w:rPr>
        <w:t>importante</w:t>
      </w:r>
      <w:proofErr w:type="spellEnd"/>
      <w:r w:rsidR="002B23AB" w:rsidRPr="005E0796">
        <w:rPr>
          <w:rStyle w:val="shdr"/>
        </w:rPr>
        <w:t>)</w:t>
      </w:r>
      <w:r w:rsidR="003C108C" w:rsidRPr="005E0796">
        <w:rPr>
          <w:rStyle w:val="shdr"/>
        </w:rPr>
        <w:t>;</w:t>
      </w:r>
    </w:p>
    <w:p w:rsidR="00C1692C" w:rsidRPr="0033029A" w:rsidRDefault="0033029A" w:rsidP="0033029A">
      <w:pPr>
        <w:spacing w:after="160" w:line="259" w:lineRule="auto"/>
        <w:ind w:right="-1" w:firstLine="284"/>
        <w:jc w:val="both"/>
      </w:pPr>
      <w:proofErr w:type="spellStart"/>
      <w:r>
        <w:t>Î</w:t>
      </w:r>
      <w:r w:rsidR="00B74F88" w:rsidRPr="0033029A">
        <w:t>n</w:t>
      </w:r>
      <w:proofErr w:type="spellEnd"/>
      <w:r w:rsidR="00B74F88" w:rsidRPr="0033029A">
        <w:t xml:space="preserve"> </w:t>
      </w:r>
      <w:proofErr w:type="spellStart"/>
      <w:r w:rsidR="00B74F88" w:rsidRPr="0033029A">
        <w:t>conformitate</w:t>
      </w:r>
      <w:proofErr w:type="spellEnd"/>
      <w:r w:rsidR="00B74F88" w:rsidRPr="0033029A">
        <w:t xml:space="preserve"> cu </w:t>
      </w:r>
      <w:proofErr w:type="spellStart"/>
      <w:r w:rsidR="00B74F88" w:rsidRPr="0033029A">
        <w:t>Legea</w:t>
      </w:r>
      <w:proofErr w:type="spellEnd"/>
      <w:r w:rsidR="00B74F88" w:rsidRPr="0033029A">
        <w:t xml:space="preserve"> nr. 24/2007 </w:t>
      </w:r>
      <w:proofErr w:type="spellStart"/>
      <w:r w:rsidR="00B74F88" w:rsidRPr="0033029A">
        <w:rPr>
          <w:rStyle w:val="Strong"/>
          <w:b w:val="0"/>
        </w:rPr>
        <w:t>privind</w:t>
      </w:r>
      <w:proofErr w:type="spellEnd"/>
      <w:r w:rsidR="00B74F88" w:rsidRPr="0033029A">
        <w:rPr>
          <w:rStyle w:val="Strong"/>
          <w:b w:val="0"/>
        </w:rPr>
        <w:t xml:space="preserve"> </w:t>
      </w:r>
      <w:proofErr w:type="spellStart"/>
      <w:r w:rsidR="00B74F88" w:rsidRPr="0033029A">
        <w:rPr>
          <w:rStyle w:val="Strong"/>
          <w:b w:val="0"/>
        </w:rPr>
        <w:t>reglementarea</w:t>
      </w:r>
      <w:proofErr w:type="spellEnd"/>
      <w:r w:rsidR="00B74F88" w:rsidRPr="0033029A">
        <w:rPr>
          <w:rStyle w:val="Strong"/>
          <w:b w:val="0"/>
        </w:rPr>
        <w:t xml:space="preserve"> </w:t>
      </w:r>
      <w:proofErr w:type="spellStart"/>
      <w:r w:rsidR="00B74F88" w:rsidRPr="0033029A">
        <w:rPr>
          <w:rStyle w:val="Strong"/>
          <w:b w:val="0"/>
        </w:rPr>
        <w:t>şi</w:t>
      </w:r>
      <w:proofErr w:type="spellEnd"/>
      <w:r w:rsidR="00B74F88" w:rsidRPr="0033029A">
        <w:rPr>
          <w:rStyle w:val="Strong"/>
          <w:b w:val="0"/>
        </w:rPr>
        <w:t xml:space="preserve"> </w:t>
      </w:r>
      <w:proofErr w:type="spellStart"/>
      <w:r w:rsidR="00B74F88" w:rsidRPr="0033029A">
        <w:rPr>
          <w:rStyle w:val="Strong"/>
          <w:b w:val="0"/>
        </w:rPr>
        <w:t>administrarea</w:t>
      </w:r>
      <w:proofErr w:type="spellEnd"/>
      <w:r w:rsidR="00B74F88" w:rsidRPr="0033029A">
        <w:rPr>
          <w:rStyle w:val="Strong"/>
          <w:b w:val="0"/>
        </w:rPr>
        <w:t xml:space="preserve"> </w:t>
      </w:r>
      <w:proofErr w:type="spellStart"/>
      <w:r w:rsidR="00B74F88" w:rsidRPr="0033029A">
        <w:rPr>
          <w:rStyle w:val="Strong"/>
          <w:b w:val="0"/>
        </w:rPr>
        <w:t>spaţiilor</w:t>
      </w:r>
      <w:proofErr w:type="spellEnd"/>
      <w:r w:rsidR="00B74F88" w:rsidRPr="0033029A">
        <w:rPr>
          <w:rStyle w:val="Strong"/>
          <w:b w:val="0"/>
        </w:rPr>
        <w:t xml:space="preserve"> </w:t>
      </w:r>
      <w:proofErr w:type="spellStart"/>
      <w:r w:rsidR="00B74F88" w:rsidRPr="0033029A">
        <w:rPr>
          <w:rStyle w:val="Strong"/>
          <w:b w:val="0"/>
        </w:rPr>
        <w:t>verzi</w:t>
      </w:r>
      <w:proofErr w:type="spellEnd"/>
      <w:r w:rsidR="00B74F88" w:rsidRPr="0033029A">
        <w:rPr>
          <w:rStyle w:val="Strong"/>
          <w:b w:val="0"/>
        </w:rPr>
        <w:t xml:space="preserve"> din </w:t>
      </w:r>
      <w:proofErr w:type="spellStart"/>
      <w:r w:rsidR="00B74F88" w:rsidRPr="0033029A">
        <w:rPr>
          <w:rStyle w:val="Strong"/>
          <w:b w:val="0"/>
        </w:rPr>
        <w:t>intravilanul</w:t>
      </w:r>
      <w:proofErr w:type="spellEnd"/>
      <w:r w:rsidR="00B74F88" w:rsidRPr="0033029A">
        <w:rPr>
          <w:rStyle w:val="Strong"/>
          <w:b w:val="0"/>
        </w:rPr>
        <w:t xml:space="preserve"> </w:t>
      </w:r>
      <w:proofErr w:type="spellStart"/>
      <w:r w:rsidR="00B74F88" w:rsidRPr="0033029A">
        <w:rPr>
          <w:rStyle w:val="Strong"/>
          <w:b w:val="0"/>
        </w:rPr>
        <w:t>localităţilo</w:t>
      </w:r>
      <w:r w:rsidR="00B74F88" w:rsidRPr="0033029A">
        <w:t>r</w:t>
      </w:r>
      <w:proofErr w:type="spellEnd"/>
      <w:r w:rsidR="00B74F88" w:rsidRPr="0033029A">
        <w:t xml:space="preserve">, </w:t>
      </w:r>
      <w:r w:rsidR="00B74F88" w:rsidRPr="0033029A">
        <w:rPr>
          <w:b/>
        </w:rPr>
        <w:t xml:space="preserve">au </w:t>
      </w:r>
      <w:proofErr w:type="spellStart"/>
      <w:r w:rsidR="00B74F88" w:rsidRPr="0033029A">
        <w:rPr>
          <w:b/>
        </w:rPr>
        <w:t>fost</w:t>
      </w:r>
      <w:proofErr w:type="spellEnd"/>
      <w:r w:rsidR="00B74F88" w:rsidRPr="0033029A">
        <w:rPr>
          <w:b/>
        </w:rPr>
        <w:t xml:space="preserve"> </w:t>
      </w:r>
      <w:proofErr w:type="spellStart"/>
      <w:r w:rsidR="00B74F88" w:rsidRPr="0033029A">
        <w:rPr>
          <w:b/>
        </w:rPr>
        <w:t>emise</w:t>
      </w:r>
      <w:proofErr w:type="spellEnd"/>
      <w:r w:rsidR="00B74F88" w:rsidRPr="0033029A">
        <w:rPr>
          <w:b/>
        </w:rPr>
        <w:t xml:space="preserve"> </w:t>
      </w:r>
      <w:r w:rsidR="00EA429C" w:rsidRPr="0033029A">
        <w:rPr>
          <w:b/>
        </w:rPr>
        <w:t>49</w:t>
      </w:r>
      <w:r w:rsidR="00C1692C" w:rsidRPr="0033029A">
        <w:rPr>
          <w:b/>
        </w:rPr>
        <w:t xml:space="preserve"> de </w:t>
      </w:r>
      <w:proofErr w:type="spellStart"/>
      <w:r w:rsidR="00C1692C" w:rsidRPr="0033029A">
        <w:rPr>
          <w:b/>
        </w:rPr>
        <w:t>avize</w:t>
      </w:r>
      <w:proofErr w:type="spellEnd"/>
      <w:r w:rsidR="00C1692C" w:rsidRPr="0033029A">
        <w:rPr>
          <w:b/>
        </w:rPr>
        <w:t xml:space="preserve"> </w:t>
      </w:r>
      <w:proofErr w:type="spellStart"/>
      <w:r w:rsidR="00C1692C" w:rsidRPr="0033029A">
        <w:rPr>
          <w:b/>
        </w:rPr>
        <w:t>pentru</w:t>
      </w:r>
      <w:proofErr w:type="spellEnd"/>
      <w:r w:rsidR="00C1692C" w:rsidRPr="0033029A">
        <w:rPr>
          <w:b/>
        </w:rPr>
        <w:t xml:space="preserve"> </w:t>
      </w:r>
      <w:proofErr w:type="spellStart"/>
      <w:r w:rsidR="00C1692C" w:rsidRPr="0033029A">
        <w:rPr>
          <w:b/>
        </w:rPr>
        <w:t>lucrări</w:t>
      </w:r>
      <w:proofErr w:type="spellEnd"/>
      <w:r w:rsidR="00C1692C" w:rsidRPr="0033029A">
        <w:rPr>
          <w:b/>
        </w:rPr>
        <w:t xml:space="preserve"> </w:t>
      </w:r>
      <w:proofErr w:type="spellStart"/>
      <w:r w:rsidR="00C1692C" w:rsidRPr="0033029A">
        <w:rPr>
          <w:b/>
        </w:rPr>
        <w:t>pe</w:t>
      </w:r>
      <w:proofErr w:type="spellEnd"/>
      <w:r w:rsidR="00C1692C" w:rsidRPr="0033029A">
        <w:rPr>
          <w:b/>
        </w:rPr>
        <w:t xml:space="preserve"> </w:t>
      </w:r>
      <w:proofErr w:type="spellStart"/>
      <w:r w:rsidR="00C1692C" w:rsidRPr="0033029A">
        <w:rPr>
          <w:b/>
        </w:rPr>
        <w:t>spațiile</w:t>
      </w:r>
      <w:proofErr w:type="spellEnd"/>
      <w:r w:rsidR="00C1692C" w:rsidRPr="0033029A">
        <w:rPr>
          <w:b/>
        </w:rPr>
        <w:t xml:space="preserve"> </w:t>
      </w:r>
      <w:proofErr w:type="spellStart"/>
      <w:r w:rsidR="00C1692C" w:rsidRPr="0033029A">
        <w:rPr>
          <w:b/>
        </w:rPr>
        <w:t>verzi</w:t>
      </w:r>
      <w:proofErr w:type="spellEnd"/>
      <w:r w:rsidR="00C1692C" w:rsidRPr="0033029A">
        <w:t xml:space="preserve"> (</w:t>
      </w:r>
      <w:proofErr w:type="spellStart"/>
      <w:r w:rsidR="00C1692C" w:rsidRPr="0033029A">
        <w:t>față</w:t>
      </w:r>
      <w:proofErr w:type="spellEnd"/>
      <w:r w:rsidR="00C1692C" w:rsidRPr="0033029A">
        <w:t xml:space="preserve"> de </w:t>
      </w:r>
      <w:r w:rsidR="00B27027" w:rsidRPr="0033029A">
        <w:t>6</w:t>
      </w:r>
      <w:r w:rsidR="00C1692C" w:rsidRPr="0033029A">
        <w:t>7</w:t>
      </w:r>
      <w:r w:rsidR="004D6CB9" w:rsidRPr="0033029A">
        <w:t xml:space="preserve"> </w:t>
      </w:r>
      <w:proofErr w:type="spellStart"/>
      <w:r w:rsidR="004D6CB9" w:rsidRPr="0033029A">
        <w:t>în</w:t>
      </w:r>
      <w:proofErr w:type="spellEnd"/>
      <w:r w:rsidR="004D6CB9" w:rsidRPr="0033029A">
        <w:t xml:space="preserve"> </w:t>
      </w:r>
      <w:proofErr w:type="spellStart"/>
      <w:r w:rsidR="004D6CB9" w:rsidRPr="0033029A">
        <w:t>anul</w:t>
      </w:r>
      <w:proofErr w:type="spellEnd"/>
      <w:r w:rsidR="004D6CB9" w:rsidRPr="0033029A">
        <w:t xml:space="preserve"> 202</w:t>
      </w:r>
      <w:r w:rsidR="00B27027" w:rsidRPr="0033029A">
        <w:t>2</w:t>
      </w:r>
      <w:r w:rsidR="00C1692C" w:rsidRPr="0033029A">
        <w:t>);</w:t>
      </w:r>
    </w:p>
    <w:p w:rsidR="006F661A" w:rsidRPr="0033029A" w:rsidRDefault="0033029A" w:rsidP="0033029A">
      <w:pPr>
        <w:spacing w:after="160" w:line="259" w:lineRule="auto"/>
        <w:ind w:right="-1" w:firstLine="284"/>
        <w:jc w:val="both"/>
      </w:pPr>
      <w:r>
        <w:rPr>
          <w:lang w:val="fr-FR"/>
        </w:rPr>
        <w:t>A</w:t>
      </w:r>
      <w:r w:rsidR="00AE2E47" w:rsidRPr="0033029A">
        <w:rPr>
          <w:lang w:val="fr-FR"/>
        </w:rPr>
        <w:t xml:space="preserve">u </w:t>
      </w:r>
      <w:proofErr w:type="spellStart"/>
      <w:r w:rsidR="00AE2E47" w:rsidRPr="0033029A">
        <w:rPr>
          <w:lang w:val="fr-FR"/>
        </w:rPr>
        <w:t>fost</w:t>
      </w:r>
      <w:proofErr w:type="spellEnd"/>
      <w:r w:rsidR="00AE2E47" w:rsidRPr="0033029A">
        <w:rPr>
          <w:lang w:val="fr-FR"/>
        </w:rPr>
        <w:t xml:space="preserve"> </w:t>
      </w:r>
      <w:proofErr w:type="spellStart"/>
      <w:r w:rsidR="006F661A" w:rsidRPr="0033029A">
        <w:rPr>
          <w:lang w:val="fr-FR"/>
        </w:rPr>
        <w:t>întocmi</w:t>
      </w:r>
      <w:r w:rsidR="00AE2E47" w:rsidRPr="0033029A">
        <w:rPr>
          <w:lang w:val="fr-FR"/>
        </w:rPr>
        <w:t>te</w:t>
      </w:r>
      <w:proofErr w:type="spellEnd"/>
      <w:r w:rsidR="006F661A" w:rsidRPr="0033029A">
        <w:rPr>
          <w:lang w:val="fr-FR"/>
        </w:rPr>
        <w:t xml:space="preserve"> </w:t>
      </w:r>
      <w:r w:rsidR="00C95947" w:rsidRPr="0033029A">
        <w:rPr>
          <w:lang w:val="fr-FR"/>
        </w:rPr>
        <w:t>8</w:t>
      </w:r>
      <w:r w:rsidR="006F661A" w:rsidRPr="0033029A">
        <w:rPr>
          <w:lang w:val="fr-FR"/>
        </w:rPr>
        <w:t xml:space="preserve"> </w:t>
      </w:r>
      <w:proofErr w:type="spellStart"/>
      <w:r w:rsidR="006F661A" w:rsidRPr="0033029A">
        <w:rPr>
          <w:lang w:val="fr-FR"/>
        </w:rPr>
        <w:t>Declarații</w:t>
      </w:r>
      <w:proofErr w:type="spellEnd"/>
      <w:r w:rsidR="006F661A" w:rsidRPr="0033029A">
        <w:rPr>
          <w:lang w:val="fr-FR"/>
        </w:rPr>
        <w:t xml:space="preserve"> </w:t>
      </w:r>
      <w:proofErr w:type="spellStart"/>
      <w:r w:rsidR="006F661A" w:rsidRPr="0033029A">
        <w:rPr>
          <w:lang w:val="fr-FR"/>
        </w:rPr>
        <w:t>Natura</w:t>
      </w:r>
      <w:proofErr w:type="spellEnd"/>
      <w:r w:rsidR="006F661A" w:rsidRPr="0033029A">
        <w:rPr>
          <w:lang w:val="fr-FR"/>
        </w:rPr>
        <w:t xml:space="preserve"> 2000 </w:t>
      </w:r>
      <w:proofErr w:type="spellStart"/>
      <w:r w:rsidR="006F661A" w:rsidRPr="0033029A">
        <w:rPr>
          <w:lang w:val="fr-FR"/>
        </w:rPr>
        <w:t>pentru</w:t>
      </w:r>
      <w:proofErr w:type="spellEnd"/>
      <w:r w:rsidR="006F661A" w:rsidRPr="0033029A">
        <w:rPr>
          <w:lang w:val="fr-FR"/>
        </w:rPr>
        <w:t xml:space="preserve"> </w:t>
      </w:r>
      <w:proofErr w:type="spellStart"/>
      <w:r w:rsidR="006F661A" w:rsidRPr="0033029A">
        <w:rPr>
          <w:lang w:val="fr-FR"/>
        </w:rPr>
        <w:t>proiecte</w:t>
      </w:r>
      <w:proofErr w:type="spellEnd"/>
      <w:r w:rsidR="006F661A" w:rsidRPr="0033029A">
        <w:rPr>
          <w:lang w:val="fr-FR"/>
        </w:rPr>
        <w:t xml:space="preserve"> </w:t>
      </w:r>
      <w:proofErr w:type="spellStart"/>
      <w:r w:rsidR="006F661A" w:rsidRPr="0033029A">
        <w:rPr>
          <w:lang w:val="fr-FR"/>
        </w:rPr>
        <w:t>cu</w:t>
      </w:r>
      <w:proofErr w:type="spellEnd"/>
      <w:r w:rsidR="006F661A" w:rsidRPr="0033029A">
        <w:rPr>
          <w:lang w:val="fr-FR"/>
        </w:rPr>
        <w:t xml:space="preserve"> </w:t>
      </w:r>
      <w:proofErr w:type="spellStart"/>
      <w:r w:rsidR="006F661A" w:rsidRPr="0033029A">
        <w:rPr>
          <w:lang w:val="fr-FR"/>
        </w:rPr>
        <w:t>finanțare</w:t>
      </w:r>
      <w:proofErr w:type="spellEnd"/>
      <w:r w:rsidR="006F661A" w:rsidRPr="0033029A">
        <w:rPr>
          <w:lang w:val="fr-FR"/>
        </w:rPr>
        <w:t xml:space="preserve"> </w:t>
      </w:r>
      <w:proofErr w:type="spellStart"/>
      <w:r w:rsidR="006F661A" w:rsidRPr="0033029A">
        <w:rPr>
          <w:lang w:val="fr-FR"/>
        </w:rPr>
        <w:t>europeană</w:t>
      </w:r>
      <w:proofErr w:type="spellEnd"/>
      <w:r w:rsidR="006F661A" w:rsidRPr="0033029A">
        <w:rPr>
          <w:lang w:val="fr-FR"/>
        </w:rPr>
        <w:t xml:space="preserve">, care nu </w:t>
      </w:r>
      <w:proofErr w:type="spellStart"/>
      <w:r w:rsidR="006F661A" w:rsidRPr="0033029A">
        <w:rPr>
          <w:lang w:val="fr-FR"/>
        </w:rPr>
        <w:t>sunt</w:t>
      </w:r>
      <w:proofErr w:type="spellEnd"/>
      <w:r w:rsidR="006F661A" w:rsidRPr="0033029A">
        <w:rPr>
          <w:lang w:val="fr-FR"/>
        </w:rPr>
        <w:t xml:space="preserve"> </w:t>
      </w:r>
      <w:proofErr w:type="spellStart"/>
      <w:r w:rsidR="006F661A" w:rsidRPr="0033029A">
        <w:rPr>
          <w:lang w:val="fr-FR"/>
        </w:rPr>
        <w:t>susceptibile</w:t>
      </w:r>
      <w:proofErr w:type="spellEnd"/>
      <w:r w:rsidR="006F661A" w:rsidRPr="0033029A">
        <w:rPr>
          <w:lang w:val="fr-FR"/>
        </w:rPr>
        <w:t xml:space="preserve"> </w:t>
      </w:r>
      <w:proofErr w:type="spellStart"/>
      <w:r w:rsidR="006F661A" w:rsidRPr="0033029A">
        <w:rPr>
          <w:lang w:val="fr-FR"/>
        </w:rPr>
        <w:t>să</w:t>
      </w:r>
      <w:proofErr w:type="spellEnd"/>
      <w:r w:rsidR="006F661A" w:rsidRPr="0033029A">
        <w:rPr>
          <w:lang w:val="fr-FR"/>
        </w:rPr>
        <w:t xml:space="preserve"> </w:t>
      </w:r>
      <w:proofErr w:type="spellStart"/>
      <w:r w:rsidR="006F661A" w:rsidRPr="0033029A">
        <w:rPr>
          <w:lang w:val="fr-FR"/>
        </w:rPr>
        <w:t>afecteze</w:t>
      </w:r>
      <w:proofErr w:type="spellEnd"/>
      <w:r w:rsidR="006F661A" w:rsidRPr="0033029A">
        <w:rPr>
          <w:lang w:val="fr-FR"/>
        </w:rPr>
        <w:t xml:space="preserve"> </w:t>
      </w:r>
      <w:proofErr w:type="spellStart"/>
      <w:r w:rsidR="006F661A" w:rsidRPr="0033029A">
        <w:rPr>
          <w:lang w:val="fr-FR"/>
        </w:rPr>
        <w:t>ariile</w:t>
      </w:r>
      <w:proofErr w:type="spellEnd"/>
      <w:r w:rsidR="006F661A" w:rsidRPr="0033029A">
        <w:rPr>
          <w:lang w:val="fr-FR"/>
        </w:rPr>
        <w:t xml:space="preserve"> </w:t>
      </w:r>
      <w:proofErr w:type="spellStart"/>
      <w:r w:rsidR="006F661A" w:rsidRPr="0033029A">
        <w:rPr>
          <w:lang w:val="fr-FR"/>
        </w:rPr>
        <w:t>naturale</w:t>
      </w:r>
      <w:proofErr w:type="spellEnd"/>
      <w:r w:rsidR="006F661A" w:rsidRPr="0033029A">
        <w:rPr>
          <w:lang w:val="fr-FR"/>
        </w:rPr>
        <w:t xml:space="preserve"> </w:t>
      </w:r>
      <w:proofErr w:type="spellStart"/>
      <w:r w:rsidR="006F661A" w:rsidRPr="0033029A">
        <w:rPr>
          <w:lang w:val="fr-FR"/>
        </w:rPr>
        <w:t>protejate</w:t>
      </w:r>
      <w:proofErr w:type="spellEnd"/>
      <w:r w:rsidR="00AE2E47" w:rsidRPr="0033029A">
        <w:rPr>
          <w:lang w:val="fr-FR"/>
        </w:rPr>
        <w:t>,</w:t>
      </w:r>
      <w:r w:rsidR="006F661A" w:rsidRPr="0033029A">
        <w:rPr>
          <w:lang w:val="fr-FR"/>
        </w:rPr>
        <w:t xml:space="preserve"> un </w:t>
      </w:r>
      <w:proofErr w:type="spellStart"/>
      <w:r w:rsidR="006F661A" w:rsidRPr="0033029A">
        <w:rPr>
          <w:lang w:val="fr-FR"/>
        </w:rPr>
        <w:t>număr</w:t>
      </w:r>
      <w:proofErr w:type="spellEnd"/>
      <w:r w:rsidR="006F661A" w:rsidRPr="0033029A">
        <w:rPr>
          <w:lang w:val="fr-FR"/>
        </w:rPr>
        <w:t xml:space="preserve"> de </w:t>
      </w:r>
      <w:r w:rsidR="00C95947" w:rsidRPr="0033029A">
        <w:rPr>
          <w:lang w:val="fr-FR"/>
        </w:rPr>
        <w:t>98</w:t>
      </w:r>
      <w:r w:rsidR="006F661A" w:rsidRPr="0033029A">
        <w:rPr>
          <w:lang w:val="fr-FR"/>
        </w:rPr>
        <w:t xml:space="preserve"> </w:t>
      </w:r>
      <w:proofErr w:type="spellStart"/>
      <w:r w:rsidR="006F661A" w:rsidRPr="0033029A">
        <w:rPr>
          <w:lang w:val="fr-FR"/>
        </w:rPr>
        <w:t>nega</w:t>
      </w:r>
      <w:r w:rsidR="003241A6" w:rsidRPr="0033029A">
        <w:rPr>
          <w:lang w:val="fr-FR"/>
        </w:rPr>
        <w:t>ț</w:t>
      </w:r>
      <w:r w:rsidR="006F661A" w:rsidRPr="0033029A">
        <w:rPr>
          <w:lang w:val="fr-FR"/>
        </w:rPr>
        <w:t>ii</w:t>
      </w:r>
      <w:proofErr w:type="spellEnd"/>
      <w:r w:rsidR="006F661A" w:rsidRPr="0033029A">
        <w:rPr>
          <w:lang w:val="fr-FR"/>
        </w:rPr>
        <w:t xml:space="preserve"> </w:t>
      </w:r>
      <w:proofErr w:type="spellStart"/>
      <w:r w:rsidR="006F661A" w:rsidRPr="0033029A">
        <w:rPr>
          <w:lang w:val="fr-FR"/>
        </w:rPr>
        <w:t>cu</w:t>
      </w:r>
      <w:proofErr w:type="spellEnd"/>
      <w:r w:rsidR="006F661A" w:rsidRPr="0033029A">
        <w:rPr>
          <w:lang w:val="fr-FR"/>
        </w:rPr>
        <w:t xml:space="preserve"> </w:t>
      </w:r>
      <w:proofErr w:type="spellStart"/>
      <w:r w:rsidR="006F661A" w:rsidRPr="0033029A">
        <w:rPr>
          <w:lang w:val="fr-FR"/>
        </w:rPr>
        <w:t>privire</w:t>
      </w:r>
      <w:proofErr w:type="spellEnd"/>
      <w:r w:rsidR="006F661A" w:rsidRPr="0033029A">
        <w:rPr>
          <w:lang w:val="fr-FR"/>
        </w:rPr>
        <w:t xml:space="preserve"> la </w:t>
      </w:r>
      <w:proofErr w:type="spellStart"/>
      <w:r w:rsidR="006F661A" w:rsidRPr="0033029A">
        <w:rPr>
          <w:lang w:val="fr-FR"/>
        </w:rPr>
        <w:t>amplasarea</w:t>
      </w:r>
      <w:proofErr w:type="spellEnd"/>
      <w:r w:rsidR="006F661A" w:rsidRPr="0033029A">
        <w:rPr>
          <w:lang w:val="fr-FR"/>
        </w:rPr>
        <w:t xml:space="preserve"> </w:t>
      </w:r>
      <w:proofErr w:type="spellStart"/>
      <w:r w:rsidR="006F661A" w:rsidRPr="0033029A">
        <w:rPr>
          <w:lang w:val="fr-FR"/>
        </w:rPr>
        <w:t>unor</w:t>
      </w:r>
      <w:proofErr w:type="spellEnd"/>
      <w:r w:rsidR="006F661A" w:rsidRPr="0033029A">
        <w:rPr>
          <w:lang w:val="fr-FR"/>
        </w:rPr>
        <w:t xml:space="preserve"> </w:t>
      </w:r>
      <w:proofErr w:type="spellStart"/>
      <w:r w:rsidR="006F661A" w:rsidRPr="0033029A">
        <w:rPr>
          <w:lang w:val="fr-FR"/>
        </w:rPr>
        <w:t>obiective</w:t>
      </w:r>
      <w:proofErr w:type="spellEnd"/>
      <w:r w:rsidR="006F661A" w:rsidRPr="0033029A">
        <w:rPr>
          <w:lang w:val="fr-FR"/>
        </w:rPr>
        <w:t xml:space="preserve"> </w:t>
      </w:r>
      <w:proofErr w:type="spellStart"/>
      <w:r w:rsidR="006F661A" w:rsidRPr="0033029A">
        <w:rPr>
          <w:lang w:val="fr-FR"/>
        </w:rPr>
        <w:t>în</w:t>
      </w:r>
      <w:proofErr w:type="spellEnd"/>
      <w:r w:rsidR="006F661A" w:rsidRPr="0033029A">
        <w:rPr>
          <w:lang w:val="fr-FR"/>
        </w:rPr>
        <w:t xml:space="preserve"> </w:t>
      </w:r>
      <w:proofErr w:type="spellStart"/>
      <w:r w:rsidR="006F661A" w:rsidRPr="0033029A">
        <w:rPr>
          <w:lang w:val="fr-FR"/>
        </w:rPr>
        <w:t>raport</w:t>
      </w:r>
      <w:proofErr w:type="spellEnd"/>
      <w:r w:rsidR="006F661A" w:rsidRPr="0033029A">
        <w:rPr>
          <w:lang w:val="fr-FR"/>
        </w:rPr>
        <w:t xml:space="preserve"> </w:t>
      </w:r>
      <w:proofErr w:type="spellStart"/>
      <w:r w:rsidR="006F661A" w:rsidRPr="0033029A">
        <w:rPr>
          <w:lang w:val="fr-FR"/>
        </w:rPr>
        <w:t>cu</w:t>
      </w:r>
      <w:proofErr w:type="spellEnd"/>
      <w:r w:rsidR="006F661A" w:rsidRPr="0033029A">
        <w:rPr>
          <w:lang w:val="fr-FR"/>
        </w:rPr>
        <w:t xml:space="preserve"> </w:t>
      </w:r>
      <w:proofErr w:type="spellStart"/>
      <w:r w:rsidR="006F661A" w:rsidRPr="0033029A">
        <w:rPr>
          <w:lang w:val="fr-FR"/>
        </w:rPr>
        <w:t>ariile</w:t>
      </w:r>
      <w:proofErr w:type="spellEnd"/>
      <w:r w:rsidR="006F661A" w:rsidRPr="0033029A">
        <w:rPr>
          <w:lang w:val="fr-FR"/>
        </w:rPr>
        <w:t xml:space="preserve"> </w:t>
      </w:r>
      <w:proofErr w:type="spellStart"/>
      <w:r w:rsidR="006F661A" w:rsidRPr="0033029A">
        <w:rPr>
          <w:lang w:val="fr-FR"/>
        </w:rPr>
        <w:t>naturale</w:t>
      </w:r>
      <w:proofErr w:type="spellEnd"/>
      <w:r w:rsidR="006F661A" w:rsidRPr="0033029A">
        <w:rPr>
          <w:lang w:val="fr-FR"/>
        </w:rPr>
        <w:t xml:space="preserve"> </w:t>
      </w:r>
      <w:proofErr w:type="spellStart"/>
      <w:r w:rsidR="006F661A" w:rsidRPr="0033029A">
        <w:rPr>
          <w:lang w:val="fr-FR"/>
        </w:rPr>
        <w:t>protejate</w:t>
      </w:r>
      <w:proofErr w:type="spellEnd"/>
      <w:r w:rsidR="00AE2E47" w:rsidRPr="0033029A">
        <w:rPr>
          <w:lang w:val="fr-FR"/>
        </w:rPr>
        <w:t xml:space="preserve"> </w:t>
      </w:r>
      <w:proofErr w:type="spellStart"/>
      <w:r w:rsidR="00AE2E47" w:rsidRPr="0033029A">
        <w:rPr>
          <w:lang w:val="fr-FR"/>
        </w:rPr>
        <w:t>și</w:t>
      </w:r>
      <w:proofErr w:type="spellEnd"/>
      <w:r w:rsidR="00A313DA" w:rsidRPr="0033029A">
        <w:rPr>
          <w:lang w:val="fr-FR"/>
        </w:rPr>
        <w:t xml:space="preserve"> 6 </w:t>
      </w:r>
      <w:proofErr w:type="spellStart"/>
      <w:r w:rsidR="00A313DA" w:rsidRPr="0033029A">
        <w:rPr>
          <w:lang w:val="fr-FR"/>
        </w:rPr>
        <w:t>adrese</w:t>
      </w:r>
      <w:proofErr w:type="spellEnd"/>
      <w:r w:rsidR="00A313DA" w:rsidRPr="0033029A">
        <w:rPr>
          <w:lang w:val="fr-FR"/>
        </w:rPr>
        <w:t xml:space="preserve"> </w:t>
      </w:r>
      <w:proofErr w:type="spellStart"/>
      <w:r w:rsidR="00A313DA" w:rsidRPr="0033029A">
        <w:rPr>
          <w:lang w:val="fr-FR"/>
        </w:rPr>
        <w:t>necesare</w:t>
      </w:r>
      <w:proofErr w:type="spellEnd"/>
      <w:r w:rsidR="00A313DA" w:rsidRPr="0033029A">
        <w:rPr>
          <w:lang w:val="fr-FR"/>
        </w:rPr>
        <w:t xml:space="preserve"> </w:t>
      </w:r>
      <w:proofErr w:type="spellStart"/>
      <w:r w:rsidR="00A313DA" w:rsidRPr="0033029A">
        <w:rPr>
          <w:lang w:val="fr-FR"/>
        </w:rPr>
        <w:t>solicitanților</w:t>
      </w:r>
      <w:proofErr w:type="spellEnd"/>
      <w:r w:rsidR="00A313DA" w:rsidRPr="0033029A">
        <w:rPr>
          <w:lang w:val="fr-FR"/>
        </w:rPr>
        <w:t xml:space="preserve"> </w:t>
      </w:r>
      <w:proofErr w:type="spellStart"/>
      <w:r w:rsidR="00A313DA" w:rsidRPr="0033029A">
        <w:rPr>
          <w:lang w:val="fr-FR"/>
        </w:rPr>
        <w:t>pentru</w:t>
      </w:r>
      <w:proofErr w:type="spellEnd"/>
      <w:r w:rsidR="00A313DA" w:rsidRPr="0033029A">
        <w:rPr>
          <w:lang w:val="fr-FR"/>
        </w:rPr>
        <w:t xml:space="preserve"> </w:t>
      </w:r>
      <w:proofErr w:type="spellStart"/>
      <w:r w:rsidR="00A313DA" w:rsidRPr="0033029A">
        <w:rPr>
          <w:lang w:val="fr-FR"/>
        </w:rPr>
        <w:t>accesarea</w:t>
      </w:r>
      <w:proofErr w:type="spellEnd"/>
      <w:r w:rsidR="00A313DA" w:rsidRPr="0033029A">
        <w:rPr>
          <w:lang w:val="fr-FR"/>
        </w:rPr>
        <w:t xml:space="preserve"> </w:t>
      </w:r>
      <w:proofErr w:type="spellStart"/>
      <w:r w:rsidR="00A313DA" w:rsidRPr="0033029A">
        <w:rPr>
          <w:lang w:val="fr-FR"/>
        </w:rPr>
        <w:t>fondurilor</w:t>
      </w:r>
      <w:proofErr w:type="spellEnd"/>
      <w:r w:rsidR="00A313DA" w:rsidRPr="0033029A">
        <w:rPr>
          <w:lang w:val="fr-FR"/>
        </w:rPr>
        <w:t xml:space="preserve"> </w:t>
      </w:r>
      <w:proofErr w:type="spellStart"/>
      <w:r w:rsidR="00A313DA" w:rsidRPr="0033029A">
        <w:rPr>
          <w:lang w:val="fr-FR"/>
        </w:rPr>
        <w:t>acordate</w:t>
      </w:r>
      <w:proofErr w:type="spellEnd"/>
      <w:r w:rsidR="00A313DA" w:rsidRPr="0033029A">
        <w:rPr>
          <w:lang w:val="fr-FR"/>
        </w:rPr>
        <w:t xml:space="preserve"> </w:t>
      </w:r>
      <w:proofErr w:type="spellStart"/>
      <w:r w:rsidR="00A313DA" w:rsidRPr="0033029A">
        <w:rPr>
          <w:lang w:val="fr-FR"/>
        </w:rPr>
        <w:t>prin</w:t>
      </w:r>
      <w:proofErr w:type="spellEnd"/>
      <w:r w:rsidR="00A313DA" w:rsidRPr="0033029A">
        <w:rPr>
          <w:lang w:val="fr-FR"/>
        </w:rPr>
        <w:t xml:space="preserve"> </w:t>
      </w:r>
      <w:proofErr w:type="spellStart"/>
      <w:r w:rsidR="00A313DA" w:rsidRPr="0033029A">
        <w:rPr>
          <w:lang w:val="fr-FR"/>
        </w:rPr>
        <w:t>A</w:t>
      </w:r>
      <w:r w:rsidR="008E7FDC" w:rsidRPr="0033029A">
        <w:rPr>
          <w:lang w:val="fr-FR"/>
        </w:rPr>
        <w:t>dministrația</w:t>
      </w:r>
      <w:proofErr w:type="spellEnd"/>
      <w:r w:rsidR="008E7FDC" w:rsidRPr="0033029A">
        <w:rPr>
          <w:lang w:val="fr-FR"/>
        </w:rPr>
        <w:t xml:space="preserve"> </w:t>
      </w:r>
      <w:proofErr w:type="spellStart"/>
      <w:r w:rsidR="00A313DA" w:rsidRPr="0033029A">
        <w:rPr>
          <w:lang w:val="fr-FR"/>
        </w:rPr>
        <w:t>F</w:t>
      </w:r>
      <w:r w:rsidR="008E7FDC" w:rsidRPr="0033029A">
        <w:rPr>
          <w:lang w:val="fr-FR"/>
        </w:rPr>
        <w:t>ondului</w:t>
      </w:r>
      <w:proofErr w:type="spellEnd"/>
      <w:r w:rsidR="008E7FDC" w:rsidRPr="0033029A">
        <w:rPr>
          <w:lang w:val="fr-FR"/>
        </w:rPr>
        <w:t xml:space="preserve"> de </w:t>
      </w:r>
      <w:r w:rsidR="00A313DA" w:rsidRPr="0033029A">
        <w:rPr>
          <w:lang w:val="fr-FR"/>
        </w:rPr>
        <w:t>M</w:t>
      </w:r>
      <w:r w:rsidR="008E7FDC" w:rsidRPr="0033029A">
        <w:rPr>
          <w:lang w:val="fr-FR"/>
        </w:rPr>
        <w:t>ediu</w:t>
      </w:r>
      <w:r w:rsidR="00A313DA" w:rsidRPr="0033029A">
        <w:rPr>
          <w:lang w:val="fr-FR"/>
        </w:rPr>
        <w:t xml:space="preserve"> </w:t>
      </w:r>
      <w:proofErr w:type="spellStart"/>
      <w:r w:rsidR="00A313DA" w:rsidRPr="0033029A">
        <w:rPr>
          <w:lang w:val="fr-FR"/>
        </w:rPr>
        <w:t>pentru</w:t>
      </w:r>
      <w:proofErr w:type="spellEnd"/>
      <w:r w:rsidR="00A313DA" w:rsidRPr="0033029A">
        <w:rPr>
          <w:lang w:val="fr-FR"/>
        </w:rPr>
        <w:t xml:space="preserve"> </w:t>
      </w:r>
      <w:proofErr w:type="spellStart"/>
      <w:r w:rsidR="00A313DA" w:rsidRPr="0033029A">
        <w:rPr>
          <w:lang w:val="fr-FR"/>
        </w:rPr>
        <w:t>instalarea</w:t>
      </w:r>
      <w:proofErr w:type="spellEnd"/>
      <w:r w:rsidR="00A313DA" w:rsidRPr="0033029A">
        <w:rPr>
          <w:lang w:val="fr-FR"/>
        </w:rPr>
        <w:t xml:space="preserve"> de </w:t>
      </w:r>
      <w:proofErr w:type="spellStart"/>
      <w:r w:rsidR="00A313DA" w:rsidRPr="0033029A">
        <w:rPr>
          <w:lang w:val="fr-FR"/>
        </w:rPr>
        <w:t>garduri</w:t>
      </w:r>
      <w:proofErr w:type="spellEnd"/>
      <w:r w:rsidR="00A313DA" w:rsidRPr="0033029A">
        <w:rPr>
          <w:lang w:val="fr-FR"/>
        </w:rPr>
        <w:t xml:space="preserve"> </w:t>
      </w:r>
      <w:proofErr w:type="spellStart"/>
      <w:r w:rsidR="00A313DA" w:rsidRPr="0033029A">
        <w:rPr>
          <w:lang w:val="fr-FR"/>
        </w:rPr>
        <w:t>electrice</w:t>
      </w:r>
      <w:proofErr w:type="spellEnd"/>
      <w:r w:rsidR="00A313DA" w:rsidRPr="0033029A">
        <w:rPr>
          <w:lang w:val="fr-FR"/>
        </w:rPr>
        <w:t xml:space="preserve"> </w:t>
      </w:r>
      <w:proofErr w:type="spellStart"/>
      <w:r w:rsidR="00A313DA" w:rsidRPr="0033029A">
        <w:rPr>
          <w:lang w:val="fr-FR"/>
        </w:rPr>
        <w:t>împotriva</w:t>
      </w:r>
      <w:proofErr w:type="spellEnd"/>
      <w:r w:rsidR="00A313DA" w:rsidRPr="0033029A">
        <w:rPr>
          <w:lang w:val="fr-FR"/>
        </w:rPr>
        <w:t xml:space="preserve"> </w:t>
      </w:r>
      <w:proofErr w:type="spellStart"/>
      <w:r w:rsidR="00A313DA" w:rsidRPr="0033029A">
        <w:rPr>
          <w:lang w:val="fr-FR"/>
        </w:rPr>
        <w:t>atacurilor</w:t>
      </w:r>
      <w:proofErr w:type="spellEnd"/>
      <w:r w:rsidR="00A313DA" w:rsidRPr="0033029A">
        <w:rPr>
          <w:lang w:val="fr-FR"/>
        </w:rPr>
        <w:t xml:space="preserve"> </w:t>
      </w:r>
      <w:proofErr w:type="spellStart"/>
      <w:r w:rsidR="00A313DA" w:rsidRPr="0033029A">
        <w:rPr>
          <w:lang w:val="fr-FR"/>
        </w:rPr>
        <w:t>animalelor</w:t>
      </w:r>
      <w:proofErr w:type="spellEnd"/>
      <w:r w:rsidR="00A313DA" w:rsidRPr="0033029A">
        <w:rPr>
          <w:lang w:val="fr-FR"/>
        </w:rPr>
        <w:t xml:space="preserve"> </w:t>
      </w:r>
      <w:proofErr w:type="spellStart"/>
      <w:r w:rsidR="00A313DA" w:rsidRPr="0033029A">
        <w:rPr>
          <w:lang w:val="fr-FR"/>
        </w:rPr>
        <w:t>sălbatice</w:t>
      </w:r>
      <w:proofErr w:type="spellEnd"/>
      <w:r w:rsidR="00A313DA" w:rsidRPr="0033029A">
        <w:rPr>
          <w:lang w:val="fr-FR"/>
        </w:rPr>
        <w:t>;</w:t>
      </w:r>
    </w:p>
    <w:p w:rsidR="00EA429C" w:rsidRPr="00FD4A79" w:rsidRDefault="00EA429C" w:rsidP="00813468">
      <w:pPr>
        <w:pStyle w:val="ListParagraph"/>
        <w:spacing w:after="160" w:line="259" w:lineRule="auto"/>
        <w:ind w:left="284" w:right="-1"/>
        <w:jc w:val="both"/>
        <w:rPr>
          <w:rFonts w:ascii="Times New Roman" w:hAnsi="Times New Roman"/>
          <w:sz w:val="24"/>
          <w:szCs w:val="24"/>
          <w:lang w:val="fr-FR"/>
        </w:rPr>
      </w:pPr>
    </w:p>
    <w:p w:rsidR="00EA429C" w:rsidRPr="00FD4A79" w:rsidRDefault="00EA429C" w:rsidP="00813468">
      <w:pPr>
        <w:spacing w:after="160" w:line="259" w:lineRule="auto"/>
        <w:ind w:left="284" w:right="-1"/>
        <w:jc w:val="both"/>
        <w:rPr>
          <w:b/>
        </w:rPr>
      </w:pPr>
      <w:proofErr w:type="spellStart"/>
      <w:r w:rsidRPr="00FD4A79">
        <w:rPr>
          <w:b/>
          <w:lang w:val="fr-FR"/>
        </w:rPr>
        <w:t>Domeniul</w:t>
      </w:r>
      <w:proofErr w:type="spellEnd"/>
      <w:r w:rsidRPr="00FD4A79">
        <w:rPr>
          <w:b/>
          <w:lang w:val="fr-FR"/>
        </w:rPr>
        <w:t xml:space="preserve"> </w:t>
      </w:r>
      <w:proofErr w:type="spellStart"/>
      <w:r w:rsidRPr="00FD4A79">
        <w:rPr>
          <w:b/>
          <w:lang w:val="fr-FR"/>
        </w:rPr>
        <w:t>Gestiunea</w:t>
      </w:r>
      <w:proofErr w:type="spellEnd"/>
      <w:r w:rsidRPr="00FD4A79">
        <w:rPr>
          <w:b/>
          <w:lang w:val="fr-FR"/>
        </w:rPr>
        <w:t xml:space="preserve"> </w:t>
      </w:r>
      <w:proofErr w:type="spellStart"/>
      <w:r w:rsidR="008C2815">
        <w:rPr>
          <w:b/>
          <w:lang w:val="fr-FR"/>
        </w:rPr>
        <w:t>D</w:t>
      </w:r>
      <w:r w:rsidRPr="00FD4A79">
        <w:rPr>
          <w:b/>
          <w:lang w:val="fr-FR"/>
        </w:rPr>
        <w:t>eșeurilor</w:t>
      </w:r>
      <w:proofErr w:type="spellEnd"/>
      <w:r w:rsidRPr="00FD4A79">
        <w:rPr>
          <w:b/>
          <w:lang w:val="fr-FR"/>
        </w:rPr>
        <w:t xml:space="preserve"> </w:t>
      </w:r>
      <w:proofErr w:type="spellStart"/>
      <w:r w:rsidRPr="00FD4A79">
        <w:rPr>
          <w:b/>
          <w:lang w:val="fr-FR"/>
        </w:rPr>
        <w:t>și</w:t>
      </w:r>
      <w:proofErr w:type="spellEnd"/>
      <w:r w:rsidRPr="00FD4A79">
        <w:rPr>
          <w:b/>
          <w:lang w:val="fr-FR"/>
        </w:rPr>
        <w:t xml:space="preserve"> Sol-</w:t>
      </w:r>
      <w:proofErr w:type="spellStart"/>
      <w:r w:rsidRPr="00FD4A79">
        <w:rPr>
          <w:b/>
          <w:lang w:val="fr-FR"/>
        </w:rPr>
        <w:t>subsol</w:t>
      </w:r>
      <w:proofErr w:type="spellEnd"/>
    </w:p>
    <w:p w:rsidR="00C1692C" w:rsidRPr="00FD4A79" w:rsidRDefault="0033029A" w:rsidP="0033029A">
      <w:pPr>
        <w:pStyle w:val="ListParagraph"/>
        <w:spacing w:after="160" w:line="259" w:lineRule="auto"/>
        <w:ind w:left="0" w:right="-1" w:firstLine="284"/>
        <w:jc w:val="both"/>
        <w:rPr>
          <w:rFonts w:ascii="Times New Roman" w:hAnsi="Times New Roman"/>
          <w:sz w:val="24"/>
          <w:szCs w:val="24"/>
        </w:rPr>
      </w:pPr>
      <w:proofErr w:type="spellStart"/>
      <w:r>
        <w:rPr>
          <w:rFonts w:ascii="Times New Roman" w:hAnsi="Times New Roman"/>
          <w:sz w:val="24"/>
          <w:szCs w:val="24"/>
        </w:rPr>
        <w:t>Î</w:t>
      </w:r>
      <w:r w:rsidR="006D3E9C" w:rsidRPr="00FD4A79">
        <w:rPr>
          <w:rFonts w:ascii="Times New Roman" w:hAnsi="Times New Roman"/>
          <w:sz w:val="24"/>
          <w:szCs w:val="24"/>
        </w:rPr>
        <w:t>n</w:t>
      </w:r>
      <w:proofErr w:type="spellEnd"/>
      <w:r w:rsidR="006D3E9C" w:rsidRPr="00FD4A79">
        <w:rPr>
          <w:rFonts w:ascii="Times New Roman" w:hAnsi="Times New Roman"/>
          <w:sz w:val="24"/>
          <w:szCs w:val="24"/>
        </w:rPr>
        <w:t xml:space="preserve"> </w:t>
      </w:r>
      <w:proofErr w:type="spellStart"/>
      <w:r w:rsidR="006D3E9C" w:rsidRPr="00FD4A79">
        <w:rPr>
          <w:rFonts w:ascii="Times New Roman" w:hAnsi="Times New Roman"/>
          <w:sz w:val="24"/>
          <w:szCs w:val="24"/>
        </w:rPr>
        <w:t>conformitate</w:t>
      </w:r>
      <w:proofErr w:type="spellEnd"/>
      <w:r w:rsidR="006D3E9C" w:rsidRPr="00FD4A79">
        <w:rPr>
          <w:rFonts w:ascii="Times New Roman" w:hAnsi="Times New Roman"/>
          <w:sz w:val="24"/>
          <w:szCs w:val="24"/>
        </w:rPr>
        <w:t xml:space="preserve"> cu </w:t>
      </w:r>
      <w:proofErr w:type="spellStart"/>
      <w:r w:rsidR="006D3E9C" w:rsidRPr="003241A6">
        <w:rPr>
          <w:rFonts w:ascii="Times New Roman" w:hAnsi="Times New Roman"/>
          <w:i/>
          <w:sz w:val="24"/>
          <w:szCs w:val="24"/>
        </w:rPr>
        <w:t>Legea</w:t>
      </w:r>
      <w:proofErr w:type="spellEnd"/>
      <w:r w:rsidR="006D3E9C" w:rsidRPr="003241A6">
        <w:rPr>
          <w:rFonts w:ascii="Times New Roman" w:hAnsi="Times New Roman"/>
          <w:i/>
          <w:sz w:val="24"/>
          <w:szCs w:val="24"/>
        </w:rPr>
        <w:t xml:space="preserve"> nr. 74/2019 </w:t>
      </w:r>
      <w:proofErr w:type="spellStart"/>
      <w:r w:rsidR="006D3E9C" w:rsidRPr="003241A6">
        <w:rPr>
          <w:rStyle w:val="shdr"/>
          <w:rFonts w:ascii="Times New Roman" w:hAnsi="Times New Roman"/>
          <w:i/>
          <w:sz w:val="24"/>
          <w:szCs w:val="24"/>
        </w:rPr>
        <w:t>privind</w:t>
      </w:r>
      <w:proofErr w:type="spellEnd"/>
      <w:r w:rsidR="006D3E9C" w:rsidRPr="003241A6">
        <w:rPr>
          <w:rStyle w:val="shdr"/>
          <w:rFonts w:ascii="Times New Roman" w:hAnsi="Times New Roman"/>
          <w:i/>
          <w:sz w:val="24"/>
          <w:szCs w:val="24"/>
        </w:rPr>
        <w:t xml:space="preserve"> </w:t>
      </w:r>
      <w:proofErr w:type="spellStart"/>
      <w:r w:rsidR="006D3E9C" w:rsidRPr="003241A6">
        <w:rPr>
          <w:rStyle w:val="shdr"/>
          <w:rFonts w:ascii="Times New Roman" w:hAnsi="Times New Roman"/>
          <w:i/>
          <w:sz w:val="24"/>
          <w:szCs w:val="24"/>
        </w:rPr>
        <w:t>gestionarea</w:t>
      </w:r>
      <w:proofErr w:type="spellEnd"/>
      <w:r w:rsidR="006D3E9C" w:rsidRPr="003241A6">
        <w:rPr>
          <w:rStyle w:val="shdr"/>
          <w:rFonts w:ascii="Times New Roman" w:hAnsi="Times New Roman"/>
          <w:i/>
          <w:sz w:val="24"/>
          <w:szCs w:val="24"/>
        </w:rPr>
        <w:t xml:space="preserve"> </w:t>
      </w:r>
      <w:proofErr w:type="spellStart"/>
      <w:r w:rsidR="006D3E9C" w:rsidRPr="003241A6">
        <w:rPr>
          <w:rStyle w:val="shdr"/>
          <w:rFonts w:ascii="Times New Roman" w:hAnsi="Times New Roman"/>
          <w:i/>
          <w:sz w:val="24"/>
          <w:szCs w:val="24"/>
        </w:rPr>
        <w:t>siturilor</w:t>
      </w:r>
      <w:proofErr w:type="spellEnd"/>
      <w:r w:rsidR="006D3E9C" w:rsidRPr="003241A6">
        <w:rPr>
          <w:rStyle w:val="shdr"/>
          <w:rFonts w:ascii="Times New Roman" w:hAnsi="Times New Roman"/>
          <w:i/>
          <w:sz w:val="24"/>
          <w:szCs w:val="24"/>
        </w:rPr>
        <w:t xml:space="preserve"> </w:t>
      </w:r>
      <w:proofErr w:type="spellStart"/>
      <w:r w:rsidR="006D3E9C" w:rsidRPr="003241A6">
        <w:rPr>
          <w:rStyle w:val="shdr"/>
          <w:rFonts w:ascii="Times New Roman" w:hAnsi="Times New Roman"/>
          <w:i/>
          <w:sz w:val="24"/>
          <w:szCs w:val="24"/>
        </w:rPr>
        <w:t>potențial</w:t>
      </w:r>
      <w:proofErr w:type="spellEnd"/>
      <w:r w:rsidR="006D3E9C" w:rsidRPr="003241A6">
        <w:rPr>
          <w:rStyle w:val="shdr"/>
          <w:rFonts w:ascii="Times New Roman" w:hAnsi="Times New Roman"/>
          <w:i/>
          <w:sz w:val="24"/>
          <w:szCs w:val="24"/>
        </w:rPr>
        <w:t xml:space="preserve"> contaminate </w:t>
      </w:r>
      <w:proofErr w:type="spellStart"/>
      <w:r w:rsidR="006D3E9C" w:rsidRPr="003241A6">
        <w:rPr>
          <w:rStyle w:val="shdr"/>
          <w:rFonts w:ascii="Times New Roman" w:hAnsi="Times New Roman"/>
          <w:i/>
          <w:sz w:val="24"/>
          <w:szCs w:val="24"/>
        </w:rPr>
        <w:t>și</w:t>
      </w:r>
      <w:proofErr w:type="spellEnd"/>
      <w:r w:rsidR="006D3E9C" w:rsidRPr="003241A6">
        <w:rPr>
          <w:rStyle w:val="shdr"/>
          <w:rFonts w:ascii="Times New Roman" w:hAnsi="Times New Roman"/>
          <w:i/>
          <w:sz w:val="24"/>
          <w:szCs w:val="24"/>
        </w:rPr>
        <w:t xml:space="preserve"> a </w:t>
      </w:r>
      <w:proofErr w:type="spellStart"/>
      <w:r w:rsidR="006D3E9C" w:rsidRPr="003241A6">
        <w:rPr>
          <w:rStyle w:val="shdr"/>
          <w:rFonts w:ascii="Times New Roman" w:hAnsi="Times New Roman"/>
          <w:i/>
          <w:sz w:val="24"/>
          <w:szCs w:val="24"/>
        </w:rPr>
        <w:t>celor</w:t>
      </w:r>
      <w:proofErr w:type="spellEnd"/>
      <w:r w:rsidR="006D3E9C" w:rsidRPr="003241A6">
        <w:rPr>
          <w:rStyle w:val="shdr"/>
          <w:rFonts w:ascii="Times New Roman" w:hAnsi="Times New Roman"/>
          <w:i/>
          <w:sz w:val="24"/>
          <w:szCs w:val="24"/>
        </w:rPr>
        <w:t xml:space="preserve"> contaminate</w:t>
      </w:r>
      <w:r w:rsidR="00031B8A" w:rsidRPr="003241A6">
        <w:rPr>
          <w:rFonts w:ascii="Times New Roman" w:hAnsi="Times New Roman"/>
          <w:i/>
          <w:sz w:val="24"/>
          <w:szCs w:val="24"/>
        </w:rPr>
        <w:t xml:space="preserve">, </w:t>
      </w:r>
      <w:r w:rsidR="00031B8A" w:rsidRPr="0033029A">
        <w:rPr>
          <w:rFonts w:ascii="Times New Roman" w:hAnsi="Times New Roman"/>
          <w:sz w:val="24"/>
          <w:szCs w:val="24"/>
        </w:rPr>
        <w:t xml:space="preserve">a </w:t>
      </w:r>
      <w:proofErr w:type="spellStart"/>
      <w:r w:rsidR="00031B8A" w:rsidRPr="0033029A">
        <w:rPr>
          <w:rFonts w:ascii="Times New Roman" w:hAnsi="Times New Roman"/>
          <w:sz w:val="24"/>
          <w:szCs w:val="24"/>
        </w:rPr>
        <w:t>fost</w:t>
      </w:r>
      <w:proofErr w:type="spellEnd"/>
      <w:r w:rsidR="006D3E9C" w:rsidRPr="0033029A">
        <w:rPr>
          <w:rFonts w:ascii="Times New Roman" w:hAnsi="Times New Roman"/>
          <w:sz w:val="24"/>
          <w:szCs w:val="24"/>
        </w:rPr>
        <w:t xml:space="preserve"> </w:t>
      </w:r>
      <w:proofErr w:type="spellStart"/>
      <w:r w:rsidR="00031B8A" w:rsidRPr="0033029A">
        <w:rPr>
          <w:rFonts w:ascii="Times New Roman" w:hAnsi="Times New Roman"/>
          <w:sz w:val="24"/>
          <w:szCs w:val="24"/>
        </w:rPr>
        <w:t>a</w:t>
      </w:r>
      <w:r w:rsidR="00C1692C" w:rsidRPr="0033029A">
        <w:rPr>
          <w:rFonts w:ascii="Times New Roman" w:hAnsi="Times New Roman"/>
          <w:sz w:val="24"/>
          <w:szCs w:val="24"/>
        </w:rPr>
        <w:t>ctualiza</w:t>
      </w:r>
      <w:r w:rsidR="00031B8A" w:rsidRPr="0033029A">
        <w:rPr>
          <w:rFonts w:ascii="Times New Roman" w:hAnsi="Times New Roman"/>
          <w:sz w:val="24"/>
          <w:szCs w:val="24"/>
        </w:rPr>
        <w:t>tă</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list</w:t>
      </w:r>
      <w:r w:rsidR="00031B8A" w:rsidRPr="0033029A">
        <w:rPr>
          <w:rFonts w:ascii="Times New Roman" w:hAnsi="Times New Roman"/>
          <w:sz w:val="24"/>
          <w:szCs w:val="24"/>
        </w:rPr>
        <w:t>a</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județe</w:t>
      </w:r>
      <w:r w:rsidR="00031B8A" w:rsidRPr="0033029A">
        <w:rPr>
          <w:rFonts w:ascii="Times New Roman" w:hAnsi="Times New Roman"/>
          <w:sz w:val="24"/>
          <w:szCs w:val="24"/>
        </w:rPr>
        <w:t>ană</w:t>
      </w:r>
      <w:proofErr w:type="spellEnd"/>
      <w:r w:rsidR="00C1692C" w:rsidRPr="0033029A">
        <w:rPr>
          <w:rFonts w:ascii="Times New Roman" w:hAnsi="Times New Roman"/>
          <w:sz w:val="24"/>
          <w:szCs w:val="24"/>
        </w:rPr>
        <w:t xml:space="preserve"> a </w:t>
      </w:r>
      <w:proofErr w:type="spellStart"/>
      <w:r w:rsidR="00C1692C" w:rsidRPr="0033029A">
        <w:rPr>
          <w:rFonts w:ascii="Times New Roman" w:hAnsi="Times New Roman"/>
          <w:sz w:val="24"/>
          <w:szCs w:val="24"/>
        </w:rPr>
        <w:t>siturilor</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potențial</w:t>
      </w:r>
      <w:proofErr w:type="spellEnd"/>
      <w:r w:rsidR="00C1692C" w:rsidRPr="0033029A">
        <w:rPr>
          <w:rFonts w:ascii="Times New Roman" w:hAnsi="Times New Roman"/>
          <w:sz w:val="24"/>
          <w:szCs w:val="24"/>
        </w:rPr>
        <w:t xml:space="preserve"> contaminate </w:t>
      </w:r>
      <w:proofErr w:type="spellStart"/>
      <w:r w:rsidR="00C1692C" w:rsidRPr="0033029A">
        <w:rPr>
          <w:rFonts w:ascii="Times New Roman" w:hAnsi="Times New Roman"/>
          <w:sz w:val="24"/>
          <w:szCs w:val="24"/>
        </w:rPr>
        <w:t>prin</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transmiterea</w:t>
      </w:r>
      <w:proofErr w:type="spellEnd"/>
      <w:r w:rsidR="00C1692C" w:rsidRPr="0033029A">
        <w:rPr>
          <w:rFonts w:ascii="Times New Roman" w:hAnsi="Times New Roman"/>
          <w:sz w:val="24"/>
          <w:szCs w:val="24"/>
        </w:rPr>
        <w:t xml:space="preserve"> de </w:t>
      </w:r>
      <w:proofErr w:type="spellStart"/>
      <w:r w:rsidR="00C1692C" w:rsidRPr="0033029A">
        <w:rPr>
          <w:rFonts w:ascii="Times New Roman" w:hAnsi="Times New Roman"/>
          <w:sz w:val="24"/>
          <w:szCs w:val="24"/>
        </w:rPr>
        <w:t>adrese</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către</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toate</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primăriile</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și</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operatorii</w:t>
      </w:r>
      <w:proofErr w:type="spellEnd"/>
      <w:r w:rsidR="00C1692C" w:rsidRPr="0033029A">
        <w:rPr>
          <w:rFonts w:ascii="Times New Roman" w:hAnsi="Times New Roman"/>
          <w:sz w:val="24"/>
          <w:szCs w:val="24"/>
        </w:rPr>
        <w:t xml:space="preserve"> </w:t>
      </w:r>
      <w:proofErr w:type="spellStart"/>
      <w:r w:rsidR="00C1692C" w:rsidRPr="0033029A">
        <w:rPr>
          <w:rFonts w:ascii="Times New Roman" w:hAnsi="Times New Roman"/>
          <w:sz w:val="24"/>
          <w:szCs w:val="24"/>
        </w:rPr>
        <w:t>economici</w:t>
      </w:r>
      <w:proofErr w:type="spellEnd"/>
      <w:r w:rsidR="002B23AB" w:rsidRPr="00FD4A79">
        <w:rPr>
          <w:rFonts w:ascii="Times New Roman" w:hAnsi="Times New Roman"/>
          <w:sz w:val="24"/>
          <w:szCs w:val="24"/>
        </w:rPr>
        <w:t xml:space="preserve">; </w:t>
      </w:r>
      <w:proofErr w:type="spellStart"/>
      <w:r w:rsidR="002B23AB" w:rsidRPr="00240E25">
        <w:rPr>
          <w:rFonts w:ascii="Times New Roman" w:hAnsi="Times New Roman"/>
          <w:b/>
          <w:sz w:val="24"/>
          <w:szCs w:val="24"/>
        </w:rPr>
        <w:t>lista</w:t>
      </w:r>
      <w:proofErr w:type="spellEnd"/>
      <w:r w:rsidR="00E671A4" w:rsidRPr="00240E25">
        <w:rPr>
          <w:rFonts w:ascii="Times New Roman" w:hAnsi="Times New Roman"/>
          <w:b/>
          <w:sz w:val="24"/>
          <w:szCs w:val="24"/>
        </w:rPr>
        <w:t xml:space="preserve"> </w:t>
      </w:r>
      <w:proofErr w:type="spellStart"/>
      <w:r w:rsidR="00E671A4" w:rsidRPr="00240E25">
        <w:rPr>
          <w:rFonts w:ascii="Times New Roman" w:hAnsi="Times New Roman"/>
          <w:b/>
          <w:sz w:val="24"/>
          <w:szCs w:val="24"/>
        </w:rPr>
        <w:t>cuprinde</w:t>
      </w:r>
      <w:proofErr w:type="spellEnd"/>
      <w:r w:rsidR="00E671A4" w:rsidRPr="00240E25">
        <w:rPr>
          <w:rFonts w:ascii="Times New Roman" w:hAnsi="Times New Roman"/>
          <w:b/>
          <w:sz w:val="24"/>
          <w:szCs w:val="24"/>
        </w:rPr>
        <w:t xml:space="preserve"> </w:t>
      </w:r>
      <w:proofErr w:type="spellStart"/>
      <w:r w:rsidR="00E671A4" w:rsidRPr="00240E25">
        <w:rPr>
          <w:rFonts w:ascii="Times New Roman" w:hAnsi="Times New Roman"/>
          <w:b/>
          <w:sz w:val="24"/>
          <w:szCs w:val="24"/>
        </w:rPr>
        <w:t>în</w:t>
      </w:r>
      <w:proofErr w:type="spellEnd"/>
      <w:r w:rsidR="00E671A4" w:rsidRPr="00240E25">
        <w:rPr>
          <w:rFonts w:ascii="Times New Roman" w:hAnsi="Times New Roman"/>
          <w:b/>
          <w:sz w:val="24"/>
          <w:szCs w:val="24"/>
        </w:rPr>
        <w:t xml:space="preserve"> </w:t>
      </w:r>
      <w:proofErr w:type="spellStart"/>
      <w:r w:rsidR="00E671A4" w:rsidRPr="00240E25">
        <w:rPr>
          <w:rFonts w:ascii="Times New Roman" w:hAnsi="Times New Roman"/>
          <w:b/>
          <w:sz w:val="24"/>
          <w:szCs w:val="24"/>
        </w:rPr>
        <w:t>pre</w:t>
      </w:r>
      <w:r w:rsidR="002B23AB" w:rsidRPr="00240E25">
        <w:rPr>
          <w:rFonts w:ascii="Times New Roman" w:hAnsi="Times New Roman"/>
          <w:b/>
          <w:sz w:val="24"/>
          <w:szCs w:val="24"/>
        </w:rPr>
        <w:t>z</w:t>
      </w:r>
      <w:r w:rsidR="00E671A4" w:rsidRPr="00240E25">
        <w:rPr>
          <w:rFonts w:ascii="Times New Roman" w:hAnsi="Times New Roman"/>
          <w:b/>
          <w:sz w:val="24"/>
          <w:szCs w:val="24"/>
        </w:rPr>
        <w:t>ent</w:t>
      </w:r>
      <w:proofErr w:type="spellEnd"/>
      <w:r w:rsidR="00E671A4" w:rsidRPr="00240E25">
        <w:rPr>
          <w:rFonts w:ascii="Times New Roman" w:hAnsi="Times New Roman"/>
          <w:b/>
          <w:sz w:val="24"/>
          <w:szCs w:val="24"/>
        </w:rPr>
        <w:t xml:space="preserve"> </w:t>
      </w:r>
      <w:r w:rsidR="00721CE5" w:rsidRPr="00240E25">
        <w:rPr>
          <w:rFonts w:ascii="Times New Roman" w:hAnsi="Times New Roman"/>
          <w:b/>
          <w:sz w:val="24"/>
          <w:szCs w:val="24"/>
        </w:rPr>
        <w:t>28</w:t>
      </w:r>
      <w:r w:rsidR="00981170" w:rsidRPr="00240E25">
        <w:rPr>
          <w:rFonts w:ascii="Times New Roman" w:hAnsi="Times New Roman"/>
          <w:b/>
          <w:sz w:val="24"/>
          <w:szCs w:val="24"/>
        </w:rPr>
        <w:t>7</w:t>
      </w:r>
      <w:r w:rsidR="00E671A4" w:rsidRPr="00240E25">
        <w:rPr>
          <w:rFonts w:ascii="Times New Roman" w:hAnsi="Times New Roman"/>
          <w:b/>
          <w:sz w:val="24"/>
          <w:szCs w:val="24"/>
        </w:rPr>
        <w:t xml:space="preserve"> de </w:t>
      </w:r>
      <w:proofErr w:type="spellStart"/>
      <w:r w:rsidR="00E671A4" w:rsidRPr="00240E25">
        <w:rPr>
          <w:rFonts w:ascii="Times New Roman" w:hAnsi="Times New Roman"/>
          <w:b/>
          <w:sz w:val="24"/>
          <w:szCs w:val="24"/>
        </w:rPr>
        <w:t>amplasamente</w:t>
      </w:r>
      <w:proofErr w:type="spellEnd"/>
      <w:r w:rsidR="00981170" w:rsidRPr="00FD4A79">
        <w:rPr>
          <w:rFonts w:ascii="Times New Roman" w:hAnsi="Times New Roman"/>
          <w:sz w:val="24"/>
          <w:szCs w:val="24"/>
        </w:rPr>
        <w:t xml:space="preserve"> </w:t>
      </w:r>
      <w:proofErr w:type="spellStart"/>
      <w:r w:rsidR="00981170" w:rsidRPr="00FD4A79">
        <w:rPr>
          <w:rFonts w:ascii="Times New Roman" w:hAnsi="Times New Roman"/>
          <w:sz w:val="24"/>
          <w:szCs w:val="24"/>
        </w:rPr>
        <w:t>potențial</w:t>
      </w:r>
      <w:proofErr w:type="spellEnd"/>
      <w:r w:rsidR="00981170" w:rsidRPr="00FD4A79">
        <w:rPr>
          <w:rFonts w:ascii="Times New Roman" w:hAnsi="Times New Roman"/>
          <w:sz w:val="24"/>
          <w:szCs w:val="24"/>
        </w:rPr>
        <w:t xml:space="preserve"> contaminate</w:t>
      </w:r>
      <w:r w:rsidR="00721CE5">
        <w:rPr>
          <w:rFonts w:ascii="Times New Roman" w:hAnsi="Times New Roman"/>
          <w:sz w:val="24"/>
          <w:szCs w:val="24"/>
        </w:rPr>
        <w:t xml:space="preserve"> (</w:t>
      </w:r>
      <w:proofErr w:type="spellStart"/>
      <w:r w:rsidR="00721CE5">
        <w:rPr>
          <w:rFonts w:ascii="Times New Roman" w:hAnsi="Times New Roman"/>
          <w:sz w:val="24"/>
          <w:szCs w:val="24"/>
        </w:rPr>
        <w:t>această</w:t>
      </w:r>
      <w:proofErr w:type="spellEnd"/>
      <w:r w:rsidR="00721CE5">
        <w:rPr>
          <w:rFonts w:ascii="Times New Roman" w:hAnsi="Times New Roman"/>
          <w:sz w:val="24"/>
          <w:szCs w:val="24"/>
        </w:rPr>
        <w:t xml:space="preserve"> </w:t>
      </w:r>
      <w:proofErr w:type="spellStart"/>
      <w:r w:rsidR="00721CE5">
        <w:rPr>
          <w:rFonts w:ascii="Times New Roman" w:hAnsi="Times New Roman"/>
          <w:sz w:val="24"/>
          <w:szCs w:val="24"/>
        </w:rPr>
        <w:t>listă</w:t>
      </w:r>
      <w:proofErr w:type="spellEnd"/>
      <w:r w:rsidR="00721CE5">
        <w:rPr>
          <w:rFonts w:ascii="Times New Roman" w:hAnsi="Times New Roman"/>
          <w:sz w:val="24"/>
          <w:szCs w:val="24"/>
        </w:rPr>
        <w:t xml:space="preserve"> </w:t>
      </w:r>
      <w:proofErr w:type="spellStart"/>
      <w:proofErr w:type="gramStart"/>
      <w:r w:rsidR="00721CE5">
        <w:rPr>
          <w:rFonts w:ascii="Times New Roman" w:hAnsi="Times New Roman"/>
          <w:sz w:val="24"/>
          <w:szCs w:val="24"/>
        </w:rPr>
        <w:t>este</w:t>
      </w:r>
      <w:proofErr w:type="spellEnd"/>
      <w:proofErr w:type="gramEnd"/>
      <w:r w:rsidR="00721CE5">
        <w:rPr>
          <w:rFonts w:ascii="Times New Roman" w:hAnsi="Times New Roman"/>
          <w:sz w:val="24"/>
          <w:szCs w:val="24"/>
        </w:rPr>
        <w:t xml:space="preserve"> </w:t>
      </w:r>
      <w:proofErr w:type="spellStart"/>
      <w:r w:rsidR="00721CE5">
        <w:rPr>
          <w:rFonts w:ascii="Times New Roman" w:hAnsi="Times New Roman"/>
          <w:sz w:val="24"/>
          <w:szCs w:val="24"/>
        </w:rPr>
        <w:t>într</w:t>
      </w:r>
      <w:proofErr w:type="spellEnd"/>
      <w:r w:rsidR="00721CE5">
        <w:rPr>
          <w:rFonts w:ascii="Times New Roman" w:hAnsi="Times New Roman"/>
          <w:sz w:val="24"/>
          <w:szCs w:val="24"/>
        </w:rPr>
        <w:t xml:space="preserve">-o </w:t>
      </w:r>
      <w:proofErr w:type="spellStart"/>
      <w:r w:rsidR="00721CE5">
        <w:rPr>
          <w:rFonts w:ascii="Times New Roman" w:hAnsi="Times New Roman"/>
          <w:sz w:val="24"/>
          <w:szCs w:val="24"/>
        </w:rPr>
        <w:t>permanentă</w:t>
      </w:r>
      <w:proofErr w:type="spellEnd"/>
      <w:r w:rsidR="00721CE5">
        <w:rPr>
          <w:rFonts w:ascii="Times New Roman" w:hAnsi="Times New Roman"/>
          <w:sz w:val="24"/>
          <w:szCs w:val="24"/>
        </w:rPr>
        <w:t xml:space="preserve"> </w:t>
      </w:r>
      <w:proofErr w:type="spellStart"/>
      <w:r w:rsidR="00721CE5">
        <w:rPr>
          <w:rFonts w:ascii="Times New Roman" w:hAnsi="Times New Roman"/>
          <w:sz w:val="24"/>
          <w:szCs w:val="24"/>
        </w:rPr>
        <w:t>actualizare</w:t>
      </w:r>
      <w:proofErr w:type="spellEnd"/>
      <w:r w:rsidR="00721CE5">
        <w:rPr>
          <w:rFonts w:ascii="Times New Roman" w:hAnsi="Times New Roman"/>
          <w:sz w:val="24"/>
          <w:szCs w:val="24"/>
        </w:rPr>
        <w:t>)</w:t>
      </w:r>
      <w:r w:rsidR="00E671A4" w:rsidRPr="00FD4A79">
        <w:rPr>
          <w:rFonts w:ascii="Times New Roman" w:hAnsi="Times New Roman"/>
          <w:sz w:val="24"/>
          <w:szCs w:val="24"/>
        </w:rPr>
        <w:t>;</w:t>
      </w:r>
    </w:p>
    <w:p w:rsidR="001A64E2" w:rsidRPr="001A64E2" w:rsidRDefault="001A64E2" w:rsidP="001A64E2">
      <w:pPr>
        <w:pStyle w:val="ListParagraph"/>
        <w:numPr>
          <w:ilvl w:val="0"/>
          <w:numId w:val="3"/>
        </w:numPr>
        <w:spacing w:after="0" w:line="240" w:lineRule="auto"/>
        <w:ind w:left="0" w:hanging="76"/>
        <w:jc w:val="both"/>
        <w:rPr>
          <w:rStyle w:val="markedcontent"/>
          <w:rFonts w:ascii="Times New Roman" w:hAnsi="Times New Roman"/>
          <w:sz w:val="24"/>
          <w:szCs w:val="24"/>
        </w:rPr>
      </w:pPr>
      <w:proofErr w:type="spellStart"/>
      <w:r w:rsidRPr="001A64E2">
        <w:rPr>
          <w:rFonts w:ascii="Times New Roman" w:hAnsi="Times New Roman"/>
          <w:sz w:val="24"/>
          <w:szCs w:val="24"/>
        </w:rPr>
        <w:t>în</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conformitate</w:t>
      </w:r>
      <w:proofErr w:type="spellEnd"/>
      <w:r w:rsidRPr="001A64E2">
        <w:rPr>
          <w:rFonts w:ascii="Times New Roman" w:hAnsi="Times New Roman"/>
          <w:sz w:val="24"/>
          <w:szCs w:val="24"/>
        </w:rPr>
        <w:t xml:space="preserve"> cu HG 1061/2008 </w:t>
      </w:r>
      <w:proofErr w:type="spellStart"/>
      <w:r w:rsidRPr="001A64E2">
        <w:rPr>
          <w:rStyle w:val="markedcontent"/>
          <w:rFonts w:ascii="Times New Roman" w:hAnsi="Times New Roman"/>
          <w:sz w:val="24"/>
          <w:szCs w:val="24"/>
        </w:rPr>
        <w:t>privind</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transportul</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deşeurilor</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periculoase</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şi</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nepericuloase</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pe</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teritoriul</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României</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în</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perioada</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ianuarie-noiembrie</w:t>
      </w:r>
      <w:proofErr w:type="spellEnd"/>
      <w:r w:rsidRPr="001A64E2">
        <w:rPr>
          <w:rStyle w:val="markedcontent"/>
          <w:rFonts w:ascii="Times New Roman" w:hAnsi="Times New Roman"/>
          <w:sz w:val="24"/>
          <w:szCs w:val="24"/>
        </w:rPr>
        <w:t xml:space="preserve"> au </w:t>
      </w:r>
      <w:proofErr w:type="spellStart"/>
      <w:r w:rsidRPr="001A64E2">
        <w:rPr>
          <w:rStyle w:val="markedcontent"/>
          <w:rFonts w:ascii="Times New Roman" w:hAnsi="Times New Roman"/>
          <w:sz w:val="24"/>
          <w:szCs w:val="24"/>
        </w:rPr>
        <w:t>fost</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verificate</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şi</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aprobate</w:t>
      </w:r>
      <w:proofErr w:type="spellEnd"/>
      <w:r w:rsidRPr="001A64E2">
        <w:rPr>
          <w:rStyle w:val="markedcontent"/>
          <w:rFonts w:ascii="Times New Roman" w:hAnsi="Times New Roman"/>
          <w:sz w:val="24"/>
          <w:szCs w:val="24"/>
        </w:rPr>
        <w:t xml:space="preserve"> un </w:t>
      </w:r>
      <w:proofErr w:type="spellStart"/>
      <w:r w:rsidRPr="001A64E2">
        <w:rPr>
          <w:rStyle w:val="markedcontent"/>
          <w:rFonts w:ascii="Times New Roman" w:hAnsi="Times New Roman"/>
          <w:sz w:val="24"/>
          <w:szCs w:val="24"/>
        </w:rPr>
        <w:t>număr</w:t>
      </w:r>
      <w:proofErr w:type="spellEnd"/>
      <w:r w:rsidRPr="001A64E2">
        <w:rPr>
          <w:rStyle w:val="markedcontent"/>
          <w:rFonts w:ascii="Times New Roman" w:hAnsi="Times New Roman"/>
          <w:sz w:val="24"/>
          <w:szCs w:val="24"/>
        </w:rPr>
        <w:t xml:space="preserve"> de 870 de </w:t>
      </w:r>
      <w:proofErr w:type="spellStart"/>
      <w:r w:rsidRPr="001A64E2">
        <w:rPr>
          <w:rStyle w:val="markedcontent"/>
          <w:rFonts w:ascii="Times New Roman" w:hAnsi="Times New Roman"/>
          <w:sz w:val="24"/>
          <w:szCs w:val="24"/>
        </w:rPr>
        <w:t>formulare</w:t>
      </w:r>
      <w:proofErr w:type="spellEnd"/>
      <w:r w:rsidRPr="001A64E2">
        <w:rPr>
          <w:rStyle w:val="markedcontent"/>
          <w:rFonts w:ascii="Times New Roman" w:hAnsi="Times New Roman"/>
          <w:sz w:val="24"/>
          <w:szCs w:val="24"/>
        </w:rPr>
        <w:t xml:space="preserve"> de transport </w:t>
      </w:r>
      <w:proofErr w:type="spellStart"/>
      <w:r w:rsidRPr="001A64E2">
        <w:rPr>
          <w:rStyle w:val="markedcontent"/>
          <w:rFonts w:ascii="Times New Roman" w:hAnsi="Times New Roman"/>
          <w:sz w:val="24"/>
          <w:szCs w:val="24"/>
        </w:rPr>
        <w:t>deseuri</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periculoase</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față</w:t>
      </w:r>
      <w:proofErr w:type="spellEnd"/>
      <w:r w:rsidRPr="001A64E2">
        <w:rPr>
          <w:rStyle w:val="markedcontent"/>
          <w:rFonts w:ascii="Times New Roman" w:hAnsi="Times New Roman"/>
          <w:sz w:val="24"/>
          <w:szCs w:val="24"/>
        </w:rPr>
        <w:t xml:space="preserve"> de 843 </w:t>
      </w:r>
      <w:proofErr w:type="spellStart"/>
      <w:r w:rsidRPr="001A64E2">
        <w:rPr>
          <w:rStyle w:val="markedcontent"/>
          <w:rFonts w:ascii="Times New Roman" w:hAnsi="Times New Roman"/>
          <w:sz w:val="24"/>
          <w:szCs w:val="24"/>
        </w:rPr>
        <w:t>în</w:t>
      </w:r>
      <w:proofErr w:type="spellEnd"/>
      <w:r w:rsidRPr="001A64E2">
        <w:rPr>
          <w:rStyle w:val="markedcontent"/>
          <w:rFonts w:ascii="Times New Roman" w:hAnsi="Times New Roman"/>
          <w:sz w:val="24"/>
          <w:szCs w:val="24"/>
        </w:rPr>
        <w:t xml:space="preserve"> </w:t>
      </w:r>
      <w:proofErr w:type="spellStart"/>
      <w:r w:rsidRPr="001A64E2">
        <w:rPr>
          <w:rStyle w:val="markedcontent"/>
          <w:rFonts w:ascii="Times New Roman" w:hAnsi="Times New Roman"/>
          <w:sz w:val="24"/>
          <w:szCs w:val="24"/>
        </w:rPr>
        <w:t>anul</w:t>
      </w:r>
      <w:proofErr w:type="spellEnd"/>
      <w:r w:rsidRPr="001A64E2">
        <w:rPr>
          <w:rStyle w:val="markedcontent"/>
          <w:rFonts w:ascii="Times New Roman" w:hAnsi="Times New Roman"/>
          <w:sz w:val="24"/>
          <w:szCs w:val="24"/>
        </w:rPr>
        <w:t xml:space="preserve"> 2022);</w:t>
      </w:r>
    </w:p>
    <w:p w:rsidR="001A64E2" w:rsidRPr="001A64E2" w:rsidRDefault="001A64E2" w:rsidP="0033029A">
      <w:pPr>
        <w:jc w:val="both"/>
      </w:pPr>
      <w:r>
        <w:tab/>
      </w:r>
      <w:r w:rsidR="0033029A">
        <w:t>S</w:t>
      </w:r>
      <w:r w:rsidRPr="001A64E2">
        <w:t xml:space="preserve">-au </w:t>
      </w:r>
      <w:proofErr w:type="spellStart"/>
      <w:r w:rsidRPr="001A64E2">
        <w:t>verificat</w:t>
      </w:r>
      <w:proofErr w:type="spellEnd"/>
      <w:r w:rsidRPr="001A64E2">
        <w:t xml:space="preserve"> </w:t>
      </w:r>
      <w:proofErr w:type="spellStart"/>
      <w:r w:rsidRPr="001A64E2">
        <w:t>si</w:t>
      </w:r>
      <w:proofErr w:type="spellEnd"/>
      <w:r w:rsidRPr="001A64E2">
        <w:t xml:space="preserve"> </w:t>
      </w:r>
      <w:proofErr w:type="spellStart"/>
      <w:r w:rsidRPr="001A64E2">
        <w:t>validat</w:t>
      </w:r>
      <w:proofErr w:type="spellEnd"/>
      <w:r w:rsidRPr="001A64E2">
        <w:t xml:space="preserve"> </w:t>
      </w:r>
      <w:proofErr w:type="spellStart"/>
      <w:r w:rsidRPr="001A64E2">
        <w:t>datele</w:t>
      </w:r>
      <w:proofErr w:type="spellEnd"/>
      <w:r w:rsidRPr="001A64E2">
        <w:t>/</w:t>
      </w:r>
      <w:proofErr w:type="spellStart"/>
      <w:r w:rsidRPr="001A64E2">
        <w:t>chestionarele</w:t>
      </w:r>
      <w:proofErr w:type="spellEnd"/>
      <w:r w:rsidRPr="001A64E2">
        <w:t xml:space="preserve"> </w:t>
      </w:r>
      <w:proofErr w:type="spellStart"/>
      <w:r w:rsidRPr="001A64E2">
        <w:t>privind</w:t>
      </w:r>
      <w:proofErr w:type="spellEnd"/>
      <w:r w:rsidRPr="001A64E2">
        <w:t xml:space="preserve"> </w:t>
      </w:r>
      <w:proofErr w:type="spellStart"/>
      <w:r w:rsidRPr="001A64E2">
        <w:t>gestionarea</w:t>
      </w:r>
      <w:proofErr w:type="spellEnd"/>
      <w:r w:rsidRPr="001A64E2">
        <w:t xml:space="preserve"> </w:t>
      </w:r>
      <w:proofErr w:type="spellStart"/>
      <w:r w:rsidRPr="001A64E2">
        <w:t>deseurilor</w:t>
      </w:r>
      <w:proofErr w:type="spellEnd"/>
      <w:r w:rsidRPr="001A64E2">
        <w:t xml:space="preserve"> </w:t>
      </w:r>
      <w:proofErr w:type="spellStart"/>
      <w:r w:rsidRPr="001A64E2">
        <w:t>în</w:t>
      </w:r>
      <w:proofErr w:type="spellEnd"/>
      <w:r w:rsidRPr="001A64E2">
        <w:t xml:space="preserve"> </w:t>
      </w:r>
      <w:proofErr w:type="spellStart"/>
      <w:r w:rsidRPr="001A64E2">
        <w:t>anul</w:t>
      </w:r>
      <w:proofErr w:type="spellEnd"/>
      <w:r w:rsidRPr="001A64E2">
        <w:t xml:space="preserve"> 2022 </w:t>
      </w:r>
      <w:proofErr w:type="spellStart"/>
      <w:r w:rsidRPr="001A64E2">
        <w:t>introduse</w:t>
      </w:r>
      <w:proofErr w:type="spellEnd"/>
      <w:r w:rsidRPr="001A64E2">
        <w:t xml:space="preserve"> de </w:t>
      </w:r>
      <w:proofErr w:type="spellStart"/>
      <w:r w:rsidRPr="001A64E2">
        <w:t>operatorii</w:t>
      </w:r>
      <w:proofErr w:type="spellEnd"/>
      <w:r w:rsidRPr="001A64E2">
        <w:t xml:space="preserve"> </w:t>
      </w:r>
      <w:proofErr w:type="spellStart"/>
      <w:r w:rsidRPr="001A64E2">
        <w:t>economici</w:t>
      </w:r>
      <w:proofErr w:type="spellEnd"/>
      <w:r w:rsidRPr="001A64E2">
        <w:t xml:space="preserve"> in </w:t>
      </w:r>
      <w:proofErr w:type="spellStart"/>
      <w:r w:rsidRPr="001A64E2">
        <w:t>aplicatiile</w:t>
      </w:r>
      <w:proofErr w:type="spellEnd"/>
      <w:r w:rsidRPr="001A64E2">
        <w:t xml:space="preserve"> </w:t>
      </w:r>
      <w:proofErr w:type="spellStart"/>
      <w:r w:rsidRPr="001A64E2">
        <w:t>nationale</w:t>
      </w:r>
      <w:proofErr w:type="spellEnd"/>
      <w:r w:rsidRPr="001A64E2">
        <w:t xml:space="preserve"> SIM (</w:t>
      </w:r>
      <w:proofErr w:type="spellStart"/>
      <w:r w:rsidRPr="001A64E2">
        <w:t>SIM_Statistica</w:t>
      </w:r>
      <w:proofErr w:type="spellEnd"/>
      <w:r w:rsidRPr="001A64E2">
        <w:t xml:space="preserve"> </w:t>
      </w:r>
      <w:proofErr w:type="spellStart"/>
      <w:r w:rsidRPr="001A64E2">
        <w:t>deseurilor</w:t>
      </w:r>
      <w:proofErr w:type="spellEnd"/>
      <w:r w:rsidRPr="001A64E2">
        <w:t xml:space="preserve">; </w:t>
      </w:r>
      <w:proofErr w:type="spellStart"/>
      <w:r w:rsidRPr="001A64E2">
        <w:t>SIM_Ambalaje</w:t>
      </w:r>
      <w:proofErr w:type="spellEnd"/>
      <w:r w:rsidRPr="001A64E2">
        <w:t xml:space="preserve">; SIM_VSU; SIM_DEEE; SIM_PCB; SIM_EPRTR; SIM_IPPC); - 870 </w:t>
      </w:r>
      <w:proofErr w:type="spellStart"/>
      <w:r w:rsidRPr="001A64E2">
        <w:t>chestionare</w:t>
      </w:r>
      <w:proofErr w:type="spellEnd"/>
      <w:r w:rsidRPr="001A64E2">
        <w:t xml:space="preserve"> </w:t>
      </w:r>
      <w:proofErr w:type="spellStart"/>
      <w:r w:rsidRPr="001A64E2">
        <w:t>verificate</w:t>
      </w:r>
      <w:proofErr w:type="spellEnd"/>
      <w:r w:rsidRPr="001A64E2">
        <w:t>;</w:t>
      </w:r>
    </w:p>
    <w:p w:rsidR="001A64E2" w:rsidRPr="0033029A" w:rsidRDefault="0033029A" w:rsidP="0033029A">
      <w:pPr>
        <w:ind w:firstLine="720"/>
        <w:jc w:val="both"/>
      </w:pPr>
      <w:r>
        <w:t>L</w:t>
      </w:r>
      <w:r w:rsidR="001A64E2" w:rsidRPr="0033029A">
        <w:t xml:space="preserve">unar se </w:t>
      </w:r>
      <w:proofErr w:type="spellStart"/>
      <w:proofErr w:type="gramStart"/>
      <w:r w:rsidR="001A64E2" w:rsidRPr="0033029A">
        <w:t>monitorizeaza</w:t>
      </w:r>
      <w:proofErr w:type="spellEnd"/>
      <w:r w:rsidR="001A64E2" w:rsidRPr="0033029A">
        <w:t xml:space="preserve">  </w:t>
      </w:r>
      <w:proofErr w:type="spellStart"/>
      <w:r w:rsidR="001A64E2" w:rsidRPr="0033029A">
        <w:t>cantitatea</w:t>
      </w:r>
      <w:proofErr w:type="spellEnd"/>
      <w:proofErr w:type="gramEnd"/>
      <w:r w:rsidR="001A64E2" w:rsidRPr="0033029A">
        <w:t xml:space="preserve"> de </w:t>
      </w:r>
      <w:proofErr w:type="spellStart"/>
      <w:r w:rsidR="001A64E2" w:rsidRPr="0033029A">
        <w:t>deseuri</w:t>
      </w:r>
      <w:proofErr w:type="spellEnd"/>
      <w:r w:rsidR="001A64E2" w:rsidRPr="0033029A">
        <w:t xml:space="preserve"> </w:t>
      </w:r>
      <w:proofErr w:type="spellStart"/>
      <w:r w:rsidR="001A64E2" w:rsidRPr="0033029A">
        <w:t>colectata</w:t>
      </w:r>
      <w:proofErr w:type="spellEnd"/>
      <w:r w:rsidR="001A64E2" w:rsidRPr="0033029A">
        <w:t xml:space="preserve"> de </w:t>
      </w:r>
      <w:proofErr w:type="spellStart"/>
      <w:r w:rsidR="001A64E2" w:rsidRPr="0033029A">
        <w:t>operatorii</w:t>
      </w:r>
      <w:proofErr w:type="spellEnd"/>
      <w:r w:rsidR="001A64E2" w:rsidRPr="0033029A">
        <w:t xml:space="preserve"> de </w:t>
      </w:r>
      <w:proofErr w:type="spellStart"/>
      <w:r w:rsidR="001A64E2" w:rsidRPr="0033029A">
        <w:t>salubritate</w:t>
      </w:r>
      <w:proofErr w:type="spellEnd"/>
      <w:r w:rsidR="001A64E2" w:rsidRPr="0033029A">
        <w:t xml:space="preserve"> </w:t>
      </w:r>
      <w:proofErr w:type="spellStart"/>
      <w:r w:rsidR="001A64E2" w:rsidRPr="0033029A">
        <w:t>si</w:t>
      </w:r>
      <w:proofErr w:type="spellEnd"/>
      <w:r w:rsidR="001A64E2" w:rsidRPr="0033029A">
        <w:t xml:space="preserve"> </w:t>
      </w:r>
      <w:proofErr w:type="spellStart"/>
      <w:r w:rsidR="001A64E2" w:rsidRPr="0033029A">
        <w:t>transportata</w:t>
      </w:r>
      <w:proofErr w:type="spellEnd"/>
      <w:r w:rsidR="001A64E2" w:rsidRPr="0033029A">
        <w:t xml:space="preserve"> </w:t>
      </w:r>
      <w:proofErr w:type="spellStart"/>
      <w:r w:rsidR="001A64E2" w:rsidRPr="0033029A">
        <w:t>catre</w:t>
      </w:r>
      <w:proofErr w:type="spellEnd"/>
      <w:r w:rsidR="001A64E2" w:rsidRPr="0033029A">
        <w:t xml:space="preserve"> </w:t>
      </w:r>
      <w:proofErr w:type="spellStart"/>
      <w:r w:rsidR="001A64E2" w:rsidRPr="0033029A">
        <w:t>Statia</w:t>
      </w:r>
      <w:proofErr w:type="spellEnd"/>
      <w:r w:rsidR="001A64E2" w:rsidRPr="0033029A">
        <w:t xml:space="preserve"> de </w:t>
      </w:r>
      <w:proofErr w:type="spellStart"/>
      <w:r w:rsidR="001A64E2" w:rsidRPr="0033029A">
        <w:t>Tratare</w:t>
      </w:r>
      <w:proofErr w:type="spellEnd"/>
      <w:r w:rsidR="001A64E2" w:rsidRPr="0033029A">
        <w:t xml:space="preserve"> </w:t>
      </w:r>
      <w:proofErr w:type="spellStart"/>
      <w:r w:rsidR="001A64E2" w:rsidRPr="0033029A">
        <w:t>Mecano-biologica</w:t>
      </w:r>
      <w:proofErr w:type="spellEnd"/>
      <w:r w:rsidR="001A64E2" w:rsidRPr="0033029A">
        <w:t xml:space="preserve"> Ploiesti; </w:t>
      </w:r>
      <w:proofErr w:type="spellStart"/>
      <w:r w:rsidR="001A64E2" w:rsidRPr="0033029A">
        <w:t>cantitatea</w:t>
      </w:r>
      <w:proofErr w:type="spellEnd"/>
      <w:r w:rsidR="001A64E2" w:rsidRPr="0033029A">
        <w:t xml:space="preserve"> de </w:t>
      </w:r>
      <w:proofErr w:type="spellStart"/>
      <w:r w:rsidR="001A64E2" w:rsidRPr="0033029A">
        <w:t>deseuri</w:t>
      </w:r>
      <w:proofErr w:type="spellEnd"/>
      <w:r w:rsidR="001A64E2" w:rsidRPr="0033029A">
        <w:t xml:space="preserve"> </w:t>
      </w:r>
      <w:proofErr w:type="spellStart"/>
      <w:r w:rsidR="001A64E2" w:rsidRPr="0033029A">
        <w:t>intrata</w:t>
      </w:r>
      <w:proofErr w:type="spellEnd"/>
      <w:r w:rsidR="001A64E2" w:rsidRPr="0033029A">
        <w:t xml:space="preserve"> in TMB- 162940 tone;</w:t>
      </w:r>
    </w:p>
    <w:p w:rsidR="001A64E2" w:rsidRPr="001A64E2" w:rsidRDefault="0033029A" w:rsidP="0033029A">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L</w:t>
      </w:r>
      <w:r w:rsidR="001A64E2" w:rsidRPr="001A64E2">
        <w:rPr>
          <w:rFonts w:ascii="Times New Roman" w:hAnsi="Times New Roman"/>
          <w:sz w:val="24"/>
          <w:szCs w:val="24"/>
        </w:rPr>
        <w:t xml:space="preserve">unar se </w:t>
      </w:r>
      <w:proofErr w:type="spellStart"/>
      <w:r w:rsidR="001A64E2" w:rsidRPr="001A64E2">
        <w:rPr>
          <w:rFonts w:ascii="Times New Roman" w:hAnsi="Times New Roman"/>
          <w:sz w:val="24"/>
          <w:szCs w:val="24"/>
        </w:rPr>
        <w:t>monitorizeaza</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cantitatea</w:t>
      </w:r>
      <w:proofErr w:type="spellEnd"/>
      <w:r w:rsidR="001A64E2" w:rsidRPr="001A64E2">
        <w:rPr>
          <w:rFonts w:ascii="Times New Roman" w:hAnsi="Times New Roman"/>
          <w:sz w:val="24"/>
          <w:szCs w:val="24"/>
        </w:rPr>
        <w:t xml:space="preserve"> de </w:t>
      </w:r>
      <w:proofErr w:type="spellStart"/>
      <w:r w:rsidR="001A64E2" w:rsidRPr="001A64E2">
        <w:rPr>
          <w:rFonts w:ascii="Times New Roman" w:hAnsi="Times New Roman"/>
          <w:sz w:val="24"/>
          <w:szCs w:val="24"/>
        </w:rPr>
        <w:t>deseuri</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colectata</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selectiv</w:t>
      </w:r>
      <w:proofErr w:type="spellEnd"/>
      <w:r w:rsidR="001A64E2" w:rsidRPr="001A64E2">
        <w:rPr>
          <w:rFonts w:ascii="Times New Roman" w:hAnsi="Times New Roman"/>
          <w:sz w:val="24"/>
          <w:szCs w:val="24"/>
        </w:rPr>
        <w:t xml:space="preserve"> de </w:t>
      </w:r>
      <w:proofErr w:type="spellStart"/>
      <w:r w:rsidR="001A64E2" w:rsidRPr="001A64E2">
        <w:rPr>
          <w:rFonts w:ascii="Times New Roman" w:hAnsi="Times New Roman"/>
          <w:sz w:val="24"/>
          <w:szCs w:val="24"/>
        </w:rPr>
        <w:t>operatorii</w:t>
      </w:r>
      <w:proofErr w:type="spellEnd"/>
      <w:r w:rsidR="001A64E2" w:rsidRPr="001A64E2">
        <w:rPr>
          <w:rFonts w:ascii="Times New Roman" w:hAnsi="Times New Roman"/>
          <w:sz w:val="24"/>
          <w:szCs w:val="24"/>
        </w:rPr>
        <w:t xml:space="preserve"> de </w:t>
      </w:r>
      <w:proofErr w:type="spellStart"/>
      <w:r w:rsidR="001A64E2" w:rsidRPr="001A64E2">
        <w:rPr>
          <w:rFonts w:ascii="Times New Roman" w:hAnsi="Times New Roman"/>
          <w:sz w:val="24"/>
          <w:szCs w:val="24"/>
        </w:rPr>
        <w:t>salubritate</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si</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transportata</w:t>
      </w:r>
      <w:proofErr w:type="spellEnd"/>
      <w:r w:rsidR="001A64E2" w:rsidRPr="001A64E2">
        <w:rPr>
          <w:rFonts w:ascii="Times New Roman" w:hAnsi="Times New Roman"/>
          <w:sz w:val="24"/>
          <w:szCs w:val="24"/>
        </w:rPr>
        <w:t xml:space="preserve"> la </w:t>
      </w:r>
      <w:proofErr w:type="spellStart"/>
      <w:r w:rsidR="001A64E2" w:rsidRPr="001A64E2">
        <w:rPr>
          <w:rFonts w:ascii="Times New Roman" w:hAnsi="Times New Roman"/>
          <w:sz w:val="24"/>
          <w:szCs w:val="24"/>
        </w:rPr>
        <w:t>Statia</w:t>
      </w:r>
      <w:proofErr w:type="spellEnd"/>
      <w:r w:rsidR="001A64E2" w:rsidRPr="001A64E2">
        <w:rPr>
          <w:rFonts w:ascii="Times New Roman" w:hAnsi="Times New Roman"/>
          <w:sz w:val="24"/>
          <w:szCs w:val="24"/>
        </w:rPr>
        <w:t xml:space="preserve"> de </w:t>
      </w:r>
      <w:proofErr w:type="spellStart"/>
      <w:r w:rsidR="001A64E2" w:rsidRPr="001A64E2">
        <w:rPr>
          <w:rFonts w:ascii="Times New Roman" w:hAnsi="Times New Roman"/>
          <w:sz w:val="24"/>
          <w:szCs w:val="24"/>
        </w:rPr>
        <w:t>sortare</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cantitatea</w:t>
      </w:r>
      <w:proofErr w:type="spellEnd"/>
      <w:r w:rsidR="001A64E2" w:rsidRPr="001A64E2">
        <w:rPr>
          <w:rFonts w:ascii="Times New Roman" w:hAnsi="Times New Roman"/>
          <w:sz w:val="24"/>
          <w:szCs w:val="24"/>
        </w:rPr>
        <w:t xml:space="preserve"> de </w:t>
      </w:r>
      <w:proofErr w:type="spellStart"/>
      <w:r w:rsidR="001A64E2" w:rsidRPr="001A64E2">
        <w:rPr>
          <w:rFonts w:ascii="Times New Roman" w:hAnsi="Times New Roman"/>
          <w:sz w:val="24"/>
          <w:szCs w:val="24"/>
        </w:rPr>
        <w:t>deseuri</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primita</w:t>
      </w:r>
      <w:proofErr w:type="spellEnd"/>
      <w:r w:rsidR="001A64E2" w:rsidRPr="001A64E2">
        <w:rPr>
          <w:rFonts w:ascii="Times New Roman" w:hAnsi="Times New Roman"/>
          <w:sz w:val="24"/>
          <w:szCs w:val="24"/>
        </w:rPr>
        <w:t xml:space="preserve"> in </w:t>
      </w:r>
      <w:proofErr w:type="spellStart"/>
      <w:r w:rsidR="001A64E2" w:rsidRPr="001A64E2">
        <w:rPr>
          <w:rFonts w:ascii="Times New Roman" w:hAnsi="Times New Roman"/>
          <w:sz w:val="24"/>
          <w:szCs w:val="24"/>
        </w:rPr>
        <w:t>statie</w:t>
      </w:r>
      <w:proofErr w:type="spellEnd"/>
      <w:r w:rsidR="001A64E2" w:rsidRPr="001A64E2">
        <w:rPr>
          <w:rFonts w:ascii="Times New Roman" w:hAnsi="Times New Roman"/>
          <w:sz w:val="24"/>
          <w:szCs w:val="24"/>
        </w:rPr>
        <w:t xml:space="preserve"> in </w:t>
      </w:r>
      <w:proofErr w:type="spellStart"/>
      <w:r w:rsidR="001A64E2" w:rsidRPr="001A64E2">
        <w:rPr>
          <w:rFonts w:ascii="Times New Roman" w:hAnsi="Times New Roman"/>
          <w:sz w:val="24"/>
          <w:szCs w:val="24"/>
        </w:rPr>
        <w:t>vederea</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sortarii</w:t>
      </w:r>
      <w:proofErr w:type="spellEnd"/>
      <w:r w:rsidR="001A64E2" w:rsidRPr="001A64E2">
        <w:rPr>
          <w:rFonts w:ascii="Times New Roman" w:hAnsi="Times New Roman"/>
          <w:sz w:val="24"/>
          <w:szCs w:val="24"/>
        </w:rPr>
        <w:t xml:space="preserve"> 6839 tone;</w:t>
      </w:r>
    </w:p>
    <w:p w:rsidR="001A64E2" w:rsidRPr="0033029A" w:rsidRDefault="0033029A" w:rsidP="0033029A">
      <w:pPr>
        <w:ind w:firstLine="720"/>
        <w:jc w:val="both"/>
      </w:pPr>
      <w:proofErr w:type="spellStart"/>
      <w:r>
        <w:t>Î</w:t>
      </w:r>
      <w:r w:rsidR="001A64E2" w:rsidRPr="0033029A">
        <w:t>n</w:t>
      </w:r>
      <w:proofErr w:type="spellEnd"/>
      <w:r w:rsidR="001A64E2" w:rsidRPr="0033029A">
        <w:t xml:space="preserve"> </w:t>
      </w:r>
      <w:proofErr w:type="spellStart"/>
      <w:r w:rsidR="001A64E2" w:rsidRPr="0033029A">
        <w:t>cazul</w:t>
      </w:r>
      <w:proofErr w:type="spellEnd"/>
      <w:r w:rsidR="001A64E2" w:rsidRPr="0033029A">
        <w:t xml:space="preserve"> </w:t>
      </w:r>
      <w:proofErr w:type="spellStart"/>
      <w:r w:rsidR="001A64E2" w:rsidRPr="0033029A">
        <w:t>depozitelor</w:t>
      </w:r>
      <w:proofErr w:type="spellEnd"/>
      <w:r w:rsidR="001A64E2" w:rsidRPr="0033029A">
        <w:t xml:space="preserve"> de </w:t>
      </w:r>
      <w:proofErr w:type="spellStart"/>
      <w:r w:rsidR="001A64E2" w:rsidRPr="0033029A">
        <w:t>deşeuri</w:t>
      </w:r>
      <w:proofErr w:type="spellEnd"/>
      <w:r w:rsidR="001A64E2" w:rsidRPr="0033029A">
        <w:t xml:space="preserve"> </w:t>
      </w:r>
      <w:proofErr w:type="spellStart"/>
      <w:r w:rsidR="001A64E2" w:rsidRPr="0033029A">
        <w:t>nepericuloase</w:t>
      </w:r>
      <w:proofErr w:type="spellEnd"/>
      <w:r w:rsidR="001A64E2" w:rsidRPr="0033029A">
        <w:t xml:space="preserve"> </w:t>
      </w:r>
      <w:proofErr w:type="spellStart"/>
      <w:r w:rsidR="001A64E2" w:rsidRPr="0033029A">
        <w:t>şi</w:t>
      </w:r>
      <w:proofErr w:type="spellEnd"/>
      <w:r w:rsidR="001A64E2" w:rsidRPr="0033029A">
        <w:t xml:space="preserve"> </w:t>
      </w:r>
      <w:proofErr w:type="spellStart"/>
      <w:r w:rsidR="001A64E2" w:rsidRPr="0033029A">
        <w:t>periculoase</w:t>
      </w:r>
      <w:proofErr w:type="spellEnd"/>
      <w:r w:rsidR="001A64E2" w:rsidRPr="0033029A">
        <w:t xml:space="preserve"> </w:t>
      </w:r>
      <w:proofErr w:type="spellStart"/>
      <w:r w:rsidR="001A64E2" w:rsidRPr="0033029A">
        <w:t>în</w:t>
      </w:r>
      <w:proofErr w:type="spellEnd"/>
      <w:r w:rsidR="001A64E2" w:rsidRPr="0033029A">
        <w:t xml:space="preserve"> </w:t>
      </w:r>
      <w:proofErr w:type="spellStart"/>
      <w:r w:rsidR="001A64E2" w:rsidRPr="0033029A">
        <w:t>functiune</w:t>
      </w:r>
      <w:proofErr w:type="spellEnd"/>
      <w:r w:rsidR="001A64E2" w:rsidRPr="0033029A">
        <w:t xml:space="preserve"> la </w:t>
      </w:r>
      <w:proofErr w:type="spellStart"/>
      <w:r w:rsidR="001A64E2" w:rsidRPr="0033029A">
        <w:t>nivelul</w:t>
      </w:r>
      <w:proofErr w:type="spellEnd"/>
      <w:r w:rsidR="001A64E2" w:rsidRPr="0033029A">
        <w:t xml:space="preserve"> </w:t>
      </w:r>
      <w:proofErr w:type="spellStart"/>
      <w:r w:rsidR="001A64E2" w:rsidRPr="0033029A">
        <w:t>judeţului</w:t>
      </w:r>
      <w:proofErr w:type="spellEnd"/>
      <w:r w:rsidR="001A64E2" w:rsidRPr="0033029A">
        <w:t xml:space="preserve">, APM </w:t>
      </w:r>
      <w:proofErr w:type="spellStart"/>
      <w:r w:rsidR="001A64E2" w:rsidRPr="0033029A">
        <w:t>Prahova</w:t>
      </w:r>
      <w:proofErr w:type="spellEnd"/>
      <w:r w:rsidR="001A64E2" w:rsidRPr="0033029A">
        <w:t xml:space="preserve"> a </w:t>
      </w:r>
      <w:proofErr w:type="spellStart"/>
      <w:r w:rsidR="001A64E2" w:rsidRPr="0033029A">
        <w:t>transmis</w:t>
      </w:r>
      <w:proofErr w:type="spellEnd"/>
      <w:r w:rsidR="001A64E2" w:rsidRPr="0033029A">
        <w:t xml:space="preserve"> </w:t>
      </w:r>
      <w:proofErr w:type="spellStart"/>
      <w:r w:rsidR="001A64E2" w:rsidRPr="0033029A">
        <w:t>trimestrial</w:t>
      </w:r>
      <w:proofErr w:type="spellEnd"/>
      <w:r w:rsidR="001A64E2" w:rsidRPr="0033029A">
        <w:t xml:space="preserve"> </w:t>
      </w:r>
      <w:proofErr w:type="spellStart"/>
      <w:r w:rsidR="001A64E2" w:rsidRPr="0033029A">
        <w:t>stadiul</w:t>
      </w:r>
      <w:proofErr w:type="spellEnd"/>
      <w:r w:rsidR="001A64E2" w:rsidRPr="0033029A">
        <w:t xml:space="preserve"> actual al </w:t>
      </w:r>
      <w:proofErr w:type="spellStart"/>
      <w:r w:rsidR="001A64E2" w:rsidRPr="0033029A">
        <w:t>acestora</w:t>
      </w:r>
      <w:proofErr w:type="spellEnd"/>
      <w:r w:rsidR="001A64E2" w:rsidRPr="0033029A">
        <w:t xml:space="preserve">, </w:t>
      </w:r>
      <w:proofErr w:type="spellStart"/>
      <w:r w:rsidR="001A64E2" w:rsidRPr="0033029A">
        <w:t>inclusiv</w:t>
      </w:r>
      <w:proofErr w:type="spellEnd"/>
      <w:r w:rsidR="001A64E2" w:rsidRPr="0033029A">
        <w:t xml:space="preserve"> </w:t>
      </w:r>
      <w:proofErr w:type="spellStart"/>
      <w:r w:rsidR="001A64E2" w:rsidRPr="0033029A">
        <w:t>gradul</w:t>
      </w:r>
      <w:proofErr w:type="spellEnd"/>
      <w:r w:rsidR="001A64E2" w:rsidRPr="0033029A">
        <w:t xml:space="preserve"> de </w:t>
      </w:r>
      <w:proofErr w:type="spellStart"/>
      <w:r w:rsidR="001A64E2" w:rsidRPr="0033029A">
        <w:t>umplere</w:t>
      </w:r>
      <w:proofErr w:type="spellEnd"/>
      <w:r w:rsidR="001A64E2" w:rsidRPr="0033029A">
        <w:t xml:space="preserve"> al </w:t>
      </w:r>
      <w:proofErr w:type="spellStart"/>
      <w:r w:rsidR="001A64E2" w:rsidRPr="0033029A">
        <w:t>depozitului</w:t>
      </w:r>
      <w:proofErr w:type="spellEnd"/>
      <w:r w:rsidR="001A64E2" w:rsidRPr="0033029A">
        <w:t xml:space="preserve">; la data </w:t>
      </w:r>
      <w:proofErr w:type="spellStart"/>
      <w:r w:rsidR="001A64E2" w:rsidRPr="0033029A">
        <w:t>de</w:t>
      </w:r>
      <w:proofErr w:type="spellEnd"/>
      <w:r w:rsidR="001A64E2" w:rsidRPr="0033029A">
        <w:t xml:space="preserve"> 30.09.2023 – </w:t>
      </w:r>
      <w:proofErr w:type="spellStart"/>
      <w:r w:rsidR="001A64E2" w:rsidRPr="0033029A">
        <w:t>gradul</w:t>
      </w:r>
      <w:proofErr w:type="spellEnd"/>
      <w:r w:rsidR="001A64E2" w:rsidRPr="0033029A">
        <w:t xml:space="preserve"> de </w:t>
      </w:r>
      <w:proofErr w:type="spellStart"/>
      <w:r w:rsidR="001A64E2" w:rsidRPr="0033029A">
        <w:t>umplere</w:t>
      </w:r>
      <w:proofErr w:type="spellEnd"/>
      <w:r w:rsidR="001A64E2" w:rsidRPr="0033029A">
        <w:t xml:space="preserve">: </w:t>
      </w:r>
      <w:proofErr w:type="spellStart"/>
      <w:r w:rsidR="001A64E2" w:rsidRPr="0033029A">
        <w:t>Boldesti</w:t>
      </w:r>
      <w:proofErr w:type="spellEnd"/>
      <w:r w:rsidR="001A64E2" w:rsidRPr="0033029A">
        <w:t xml:space="preserve"> </w:t>
      </w:r>
      <w:proofErr w:type="spellStart"/>
      <w:r w:rsidR="001A64E2" w:rsidRPr="0033029A">
        <w:t>Scaeni</w:t>
      </w:r>
      <w:proofErr w:type="spellEnd"/>
      <w:r w:rsidR="001A64E2" w:rsidRPr="0033029A">
        <w:t xml:space="preserve"> 92,86%; </w:t>
      </w:r>
      <w:proofErr w:type="spellStart"/>
      <w:r w:rsidR="001A64E2" w:rsidRPr="0033029A">
        <w:t>Baicoi</w:t>
      </w:r>
      <w:proofErr w:type="spellEnd"/>
      <w:r w:rsidR="001A64E2" w:rsidRPr="0033029A">
        <w:t xml:space="preserve"> 97,38%; </w:t>
      </w:r>
      <w:proofErr w:type="spellStart"/>
      <w:r w:rsidR="001A64E2" w:rsidRPr="0033029A">
        <w:t>Aricestii</w:t>
      </w:r>
      <w:proofErr w:type="spellEnd"/>
      <w:r w:rsidR="001A64E2" w:rsidRPr="0033029A">
        <w:t xml:space="preserve"> </w:t>
      </w:r>
      <w:proofErr w:type="spellStart"/>
      <w:r w:rsidR="001A64E2" w:rsidRPr="0033029A">
        <w:t>Rahtivani</w:t>
      </w:r>
      <w:proofErr w:type="spellEnd"/>
      <w:r w:rsidR="001A64E2" w:rsidRPr="0033029A">
        <w:t xml:space="preserve"> 23,57%;</w:t>
      </w:r>
    </w:p>
    <w:p w:rsidR="001A64E2" w:rsidRPr="001A64E2" w:rsidRDefault="0033029A" w:rsidP="0033029A">
      <w:pPr>
        <w:pStyle w:val="ListParagraph"/>
        <w:ind w:left="0" w:firstLine="720"/>
        <w:jc w:val="both"/>
        <w:rPr>
          <w:rFonts w:ascii="Times New Roman" w:hAnsi="Times New Roman"/>
          <w:sz w:val="24"/>
          <w:szCs w:val="24"/>
        </w:rPr>
      </w:pPr>
      <w:proofErr w:type="spellStart"/>
      <w:r>
        <w:rPr>
          <w:rFonts w:ascii="Times New Roman" w:hAnsi="Times New Roman"/>
          <w:sz w:val="24"/>
          <w:szCs w:val="24"/>
        </w:rPr>
        <w:lastRenderedPageBreak/>
        <w:t>Î</w:t>
      </w:r>
      <w:r w:rsidR="001A64E2" w:rsidRPr="001A64E2">
        <w:rPr>
          <w:rFonts w:ascii="Times New Roman" w:hAnsi="Times New Roman"/>
          <w:sz w:val="24"/>
          <w:szCs w:val="24"/>
        </w:rPr>
        <w:t>n</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cazul</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depozitelor</w:t>
      </w:r>
      <w:proofErr w:type="spellEnd"/>
      <w:r w:rsidR="001A64E2" w:rsidRPr="001A64E2">
        <w:rPr>
          <w:rFonts w:ascii="Times New Roman" w:hAnsi="Times New Roman"/>
          <w:sz w:val="24"/>
          <w:szCs w:val="24"/>
        </w:rPr>
        <w:t xml:space="preserve"> de </w:t>
      </w:r>
      <w:proofErr w:type="spellStart"/>
      <w:r w:rsidR="001A64E2" w:rsidRPr="001A64E2">
        <w:rPr>
          <w:rFonts w:ascii="Times New Roman" w:hAnsi="Times New Roman"/>
          <w:sz w:val="24"/>
          <w:szCs w:val="24"/>
        </w:rPr>
        <w:t>deşeuri</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periculoase</w:t>
      </w:r>
      <w:proofErr w:type="spellEnd"/>
      <w:r w:rsidR="001A64E2" w:rsidRPr="001A64E2">
        <w:rPr>
          <w:rFonts w:ascii="Times New Roman" w:hAnsi="Times New Roman"/>
          <w:sz w:val="24"/>
          <w:szCs w:val="24"/>
        </w:rPr>
        <w:t xml:space="preserve"> care </w:t>
      </w:r>
      <w:proofErr w:type="spellStart"/>
      <w:r w:rsidR="001A64E2" w:rsidRPr="001A64E2">
        <w:rPr>
          <w:rFonts w:ascii="Times New Roman" w:hAnsi="Times New Roman"/>
          <w:sz w:val="24"/>
          <w:szCs w:val="24"/>
        </w:rPr>
        <w:t>fac</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obiectul</w:t>
      </w:r>
      <w:proofErr w:type="spell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Cauzei</w:t>
      </w:r>
      <w:proofErr w:type="spellEnd"/>
      <w:r w:rsidR="001A64E2" w:rsidRPr="001A64E2">
        <w:rPr>
          <w:rFonts w:ascii="Times New Roman" w:hAnsi="Times New Roman"/>
          <w:sz w:val="24"/>
          <w:szCs w:val="24"/>
        </w:rPr>
        <w:t xml:space="preserve"> C-301/17, APM </w:t>
      </w:r>
      <w:proofErr w:type="spellStart"/>
      <w:r w:rsidR="001A64E2" w:rsidRPr="001A64E2">
        <w:rPr>
          <w:rFonts w:ascii="Times New Roman" w:hAnsi="Times New Roman"/>
          <w:sz w:val="24"/>
          <w:szCs w:val="24"/>
        </w:rPr>
        <w:t>Prahova</w:t>
      </w:r>
      <w:proofErr w:type="spellEnd"/>
      <w:r w:rsidR="001A64E2" w:rsidRPr="001A64E2">
        <w:rPr>
          <w:rFonts w:ascii="Times New Roman" w:hAnsi="Times New Roman"/>
          <w:sz w:val="24"/>
          <w:szCs w:val="24"/>
        </w:rPr>
        <w:t xml:space="preserve"> a </w:t>
      </w:r>
      <w:proofErr w:type="spellStart"/>
      <w:r w:rsidR="001A64E2" w:rsidRPr="001A64E2">
        <w:rPr>
          <w:rFonts w:ascii="Times New Roman" w:hAnsi="Times New Roman"/>
          <w:sz w:val="24"/>
          <w:szCs w:val="24"/>
        </w:rPr>
        <w:t>informat</w:t>
      </w:r>
      <w:proofErr w:type="spellEnd"/>
      <w:r w:rsidR="001A64E2" w:rsidRPr="001A64E2">
        <w:rPr>
          <w:rFonts w:ascii="Times New Roman" w:hAnsi="Times New Roman"/>
          <w:sz w:val="24"/>
          <w:szCs w:val="24"/>
        </w:rPr>
        <w:t xml:space="preserve"> MMAP </w:t>
      </w:r>
      <w:proofErr w:type="spellStart"/>
      <w:r w:rsidR="001A64E2" w:rsidRPr="001A64E2">
        <w:rPr>
          <w:rFonts w:ascii="Times New Roman" w:hAnsi="Times New Roman"/>
          <w:sz w:val="24"/>
          <w:szCs w:val="24"/>
        </w:rPr>
        <w:t>şi</w:t>
      </w:r>
      <w:proofErr w:type="spellEnd"/>
      <w:r w:rsidR="001A64E2" w:rsidRPr="001A64E2">
        <w:rPr>
          <w:rFonts w:ascii="Times New Roman" w:hAnsi="Times New Roman"/>
          <w:sz w:val="24"/>
          <w:szCs w:val="24"/>
        </w:rPr>
        <w:t xml:space="preserve"> </w:t>
      </w:r>
      <w:proofErr w:type="gramStart"/>
      <w:r w:rsidR="001A64E2" w:rsidRPr="001A64E2">
        <w:rPr>
          <w:rFonts w:ascii="Times New Roman" w:hAnsi="Times New Roman"/>
          <w:sz w:val="24"/>
          <w:szCs w:val="24"/>
        </w:rPr>
        <w:t>ANPM  cu</w:t>
      </w:r>
      <w:proofErr w:type="gramEnd"/>
      <w:r w:rsidR="001A64E2" w:rsidRPr="001A64E2">
        <w:rPr>
          <w:rFonts w:ascii="Times New Roman" w:hAnsi="Times New Roman"/>
          <w:sz w:val="24"/>
          <w:szCs w:val="24"/>
        </w:rPr>
        <w:t xml:space="preserve"> </w:t>
      </w:r>
      <w:proofErr w:type="spellStart"/>
      <w:r w:rsidR="001A64E2" w:rsidRPr="001A64E2">
        <w:rPr>
          <w:rFonts w:ascii="Times New Roman" w:hAnsi="Times New Roman"/>
          <w:sz w:val="24"/>
          <w:szCs w:val="24"/>
        </w:rPr>
        <w:t>privire</w:t>
      </w:r>
      <w:proofErr w:type="spellEnd"/>
      <w:r w:rsidR="001A64E2" w:rsidRPr="001A64E2">
        <w:rPr>
          <w:rFonts w:ascii="Times New Roman" w:hAnsi="Times New Roman"/>
          <w:sz w:val="24"/>
          <w:szCs w:val="24"/>
        </w:rPr>
        <w:t xml:space="preserve"> la </w:t>
      </w:r>
      <w:proofErr w:type="spellStart"/>
      <w:r w:rsidR="001A64E2" w:rsidRPr="001A64E2">
        <w:rPr>
          <w:rFonts w:ascii="Times New Roman" w:hAnsi="Times New Roman"/>
          <w:sz w:val="24"/>
          <w:szCs w:val="24"/>
        </w:rPr>
        <w:t>stadiul</w:t>
      </w:r>
      <w:proofErr w:type="spellEnd"/>
      <w:r w:rsidR="001A64E2" w:rsidRPr="001A64E2">
        <w:rPr>
          <w:rFonts w:ascii="Times New Roman" w:hAnsi="Times New Roman"/>
          <w:sz w:val="24"/>
          <w:szCs w:val="24"/>
        </w:rPr>
        <w:t xml:space="preserve"> actual al </w:t>
      </w:r>
      <w:proofErr w:type="spellStart"/>
      <w:r w:rsidR="001A64E2" w:rsidRPr="001A64E2">
        <w:rPr>
          <w:rFonts w:ascii="Times New Roman" w:hAnsi="Times New Roman"/>
          <w:sz w:val="24"/>
          <w:szCs w:val="24"/>
        </w:rPr>
        <w:t>acestora</w:t>
      </w:r>
      <w:proofErr w:type="spellEnd"/>
      <w:r w:rsidR="001A64E2" w:rsidRPr="001A64E2">
        <w:rPr>
          <w:rFonts w:ascii="Times New Roman" w:hAnsi="Times New Roman"/>
          <w:sz w:val="24"/>
          <w:szCs w:val="24"/>
        </w:rPr>
        <w:t xml:space="preserve">; </w:t>
      </w:r>
    </w:p>
    <w:p w:rsidR="001A64E2" w:rsidRPr="001A64E2" w:rsidRDefault="001A64E2" w:rsidP="0033029A">
      <w:pPr>
        <w:pStyle w:val="ListParagraph"/>
        <w:ind w:left="0" w:firstLine="720"/>
        <w:jc w:val="both"/>
        <w:rPr>
          <w:rFonts w:ascii="Times New Roman" w:hAnsi="Times New Roman"/>
          <w:sz w:val="24"/>
          <w:szCs w:val="24"/>
        </w:rPr>
      </w:pPr>
      <w:proofErr w:type="spellStart"/>
      <w:r w:rsidRPr="001A64E2">
        <w:rPr>
          <w:rFonts w:ascii="Times New Roman" w:hAnsi="Times New Roman"/>
          <w:sz w:val="24"/>
          <w:szCs w:val="24"/>
        </w:rPr>
        <w:t>Referitor</w:t>
      </w:r>
      <w:proofErr w:type="spellEnd"/>
      <w:r w:rsidRPr="001A64E2">
        <w:rPr>
          <w:rFonts w:ascii="Times New Roman" w:hAnsi="Times New Roman"/>
          <w:sz w:val="24"/>
          <w:szCs w:val="24"/>
        </w:rPr>
        <w:t xml:space="preserve"> la </w:t>
      </w:r>
      <w:proofErr w:type="spellStart"/>
      <w:r w:rsidRPr="001A64E2">
        <w:rPr>
          <w:rFonts w:ascii="Times New Roman" w:hAnsi="Times New Roman"/>
          <w:sz w:val="24"/>
          <w:szCs w:val="24"/>
        </w:rPr>
        <w:t>Directiva</w:t>
      </w:r>
      <w:proofErr w:type="spellEnd"/>
      <w:r w:rsidRPr="001A64E2">
        <w:rPr>
          <w:rFonts w:ascii="Times New Roman" w:hAnsi="Times New Roman"/>
          <w:sz w:val="24"/>
          <w:szCs w:val="24"/>
        </w:rPr>
        <w:t xml:space="preserve"> SEVESO (</w:t>
      </w:r>
      <w:proofErr w:type="spellStart"/>
      <w:r w:rsidRPr="001A64E2">
        <w:rPr>
          <w:rFonts w:ascii="Times New Roman" w:hAnsi="Times New Roman"/>
          <w:sz w:val="24"/>
          <w:szCs w:val="24"/>
        </w:rPr>
        <w:t>amplasamente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unde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sunt</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prezente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substante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periculoase</w:t>
      </w:r>
      <w:proofErr w:type="spellEnd"/>
      <w:r w:rsidRPr="001A64E2">
        <w:rPr>
          <w:rFonts w:ascii="Times New Roman" w:hAnsi="Times New Roman"/>
          <w:sz w:val="24"/>
          <w:szCs w:val="24"/>
        </w:rPr>
        <w:t xml:space="preserve"> in </w:t>
      </w:r>
      <w:proofErr w:type="spellStart"/>
      <w:r w:rsidRPr="001A64E2">
        <w:rPr>
          <w:rFonts w:ascii="Times New Roman" w:hAnsi="Times New Roman"/>
          <w:sz w:val="24"/>
          <w:szCs w:val="24"/>
        </w:rPr>
        <w:t>cantitati</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relevante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prevazute</w:t>
      </w:r>
      <w:proofErr w:type="spellEnd"/>
      <w:r w:rsidRPr="001A64E2">
        <w:rPr>
          <w:rFonts w:ascii="Times New Roman" w:hAnsi="Times New Roman"/>
          <w:sz w:val="24"/>
          <w:szCs w:val="24"/>
        </w:rPr>
        <w:t xml:space="preserve"> in </w:t>
      </w:r>
      <w:proofErr w:type="spellStart"/>
      <w:r w:rsidRPr="001A64E2">
        <w:rPr>
          <w:rFonts w:ascii="Times New Roman" w:hAnsi="Times New Roman"/>
          <w:sz w:val="24"/>
          <w:szCs w:val="24"/>
        </w:rPr>
        <w:t>anexele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directivei</w:t>
      </w:r>
      <w:proofErr w:type="spellEnd"/>
      <w:r w:rsidRPr="001A64E2">
        <w:rPr>
          <w:rFonts w:ascii="Times New Roman" w:hAnsi="Times New Roman"/>
          <w:sz w:val="24"/>
          <w:szCs w:val="24"/>
        </w:rPr>
        <w:t xml:space="preserve"> - </w:t>
      </w:r>
      <w:proofErr w:type="spellStart"/>
      <w:r w:rsidRPr="001A64E2">
        <w:rPr>
          <w:rFonts w:ascii="Times New Roman" w:hAnsi="Times New Roman"/>
          <w:sz w:val="24"/>
          <w:szCs w:val="24"/>
        </w:rPr>
        <w:t>directiva</w:t>
      </w:r>
      <w:proofErr w:type="spellEnd"/>
      <w:r w:rsidRPr="001A64E2">
        <w:rPr>
          <w:rFonts w:ascii="Times New Roman" w:hAnsi="Times New Roman"/>
          <w:sz w:val="24"/>
          <w:szCs w:val="24"/>
        </w:rPr>
        <w:t xml:space="preserve"> are </w:t>
      </w:r>
      <w:proofErr w:type="spellStart"/>
      <w:r w:rsidRPr="001A64E2">
        <w:rPr>
          <w:rFonts w:ascii="Times New Roman" w:hAnsi="Times New Roman"/>
          <w:sz w:val="24"/>
          <w:szCs w:val="24"/>
        </w:rPr>
        <w:t>ca</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scop</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limitarea</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consecinţelor</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unor</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astfel</w:t>
      </w:r>
      <w:proofErr w:type="spellEnd"/>
      <w:r w:rsidRPr="001A64E2">
        <w:rPr>
          <w:rFonts w:ascii="Times New Roman" w:hAnsi="Times New Roman"/>
          <w:sz w:val="24"/>
          <w:szCs w:val="24"/>
        </w:rPr>
        <w:t xml:space="preserve"> de </w:t>
      </w:r>
      <w:proofErr w:type="spellStart"/>
      <w:r w:rsidRPr="001A64E2">
        <w:rPr>
          <w:rFonts w:ascii="Times New Roman" w:hAnsi="Times New Roman"/>
          <w:sz w:val="24"/>
          <w:szCs w:val="24"/>
        </w:rPr>
        <w:t>accidente</w:t>
      </w:r>
      <w:proofErr w:type="spellEnd"/>
      <w:r w:rsidRPr="001A64E2">
        <w:rPr>
          <w:rFonts w:ascii="Times New Roman" w:hAnsi="Times New Roman"/>
          <w:sz w:val="24"/>
          <w:szCs w:val="24"/>
        </w:rPr>
        <w:t xml:space="preserve"> nu </w:t>
      </w:r>
      <w:proofErr w:type="spellStart"/>
      <w:r w:rsidRPr="001A64E2">
        <w:rPr>
          <w:rFonts w:ascii="Times New Roman" w:hAnsi="Times New Roman"/>
          <w:sz w:val="24"/>
          <w:szCs w:val="24"/>
        </w:rPr>
        <w:t>numai</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pentru</w:t>
      </w:r>
      <w:proofErr w:type="spellEnd"/>
      <w:r w:rsidRPr="001A64E2">
        <w:rPr>
          <w:rFonts w:ascii="Times New Roman" w:hAnsi="Times New Roman"/>
          <w:sz w:val="24"/>
          <w:szCs w:val="24"/>
        </w:rPr>
        <w:t xml:space="preserve"> </w:t>
      </w:r>
      <w:proofErr w:type="spellStart"/>
      <w:proofErr w:type="gramStart"/>
      <w:r w:rsidRPr="001A64E2">
        <w:rPr>
          <w:rFonts w:ascii="Times New Roman" w:hAnsi="Times New Roman"/>
          <w:sz w:val="24"/>
          <w:szCs w:val="24"/>
        </w:rPr>
        <w:t>om</w:t>
      </w:r>
      <w:proofErr w:type="spellEnd"/>
      <w:proofErr w:type="gramEnd"/>
      <w:r w:rsidRPr="001A64E2">
        <w:rPr>
          <w:rFonts w:ascii="Times New Roman" w:hAnsi="Times New Roman"/>
          <w:sz w:val="24"/>
          <w:szCs w:val="24"/>
        </w:rPr>
        <w:t xml:space="preserve"> (</w:t>
      </w:r>
      <w:proofErr w:type="spellStart"/>
      <w:r w:rsidRPr="001A64E2">
        <w:rPr>
          <w:rFonts w:ascii="Times New Roman" w:hAnsi="Times New Roman"/>
          <w:sz w:val="24"/>
          <w:szCs w:val="24"/>
        </w:rPr>
        <w:t>aspectele</w:t>
      </w:r>
      <w:proofErr w:type="spellEnd"/>
      <w:r w:rsidRPr="001A64E2">
        <w:rPr>
          <w:rFonts w:ascii="Times New Roman" w:hAnsi="Times New Roman"/>
          <w:sz w:val="24"/>
          <w:szCs w:val="24"/>
        </w:rPr>
        <w:t xml:space="preserve"> de </w:t>
      </w:r>
      <w:proofErr w:type="spellStart"/>
      <w:r w:rsidRPr="001A64E2">
        <w:rPr>
          <w:rFonts w:ascii="Times New Roman" w:hAnsi="Times New Roman"/>
          <w:sz w:val="24"/>
          <w:szCs w:val="24"/>
        </w:rPr>
        <w:t>securitate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şi</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sănătate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dar</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şi</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pentru</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mediu</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aspectul</w:t>
      </w:r>
      <w:proofErr w:type="spellEnd"/>
      <w:r w:rsidRPr="001A64E2">
        <w:rPr>
          <w:rFonts w:ascii="Times New Roman" w:hAnsi="Times New Roman"/>
          <w:sz w:val="24"/>
          <w:szCs w:val="24"/>
        </w:rPr>
        <w:t xml:space="preserve"> de </w:t>
      </w:r>
      <w:proofErr w:type="spellStart"/>
      <w:r w:rsidRPr="001A64E2">
        <w:rPr>
          <w:rFonts w:ascii="Times New Roman" w:hAnsi="Times New Roman"/>
          <w:sz w:val="24"/>
          <w:szCs w:val="24"/>
        </w:rPr>
        <w:t>mediu</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prin</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monitorizarea</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implementarii</w:t>
      </w:r>
      <w:proofErr w:type="spellEnd"/>
      <w:r w:rsidRPr="001A64E2">
        <w:rPr>
          <w:rFonts w:ascii="Times New Roman" w:hAnsi="Times New Roman"/>
          <w:sz w:val="24"/>
          <w:szCs w:val="24"/>
        </w:rPr>
        <w:t xml:space="preserve"> la </w:t>
      </w:r>
      <w:proofErr w:type="spellStart"/>
      <w:r w:rsidRPr="001A64E2">
        <w:rPr>
          <w:rFonts w:ascii="Times New Roman" w:hAnsi="Times New Roman"/>
          <w:sz w:val="24"/>
          <w:szCs w:val="24"/>
        </w:rPr>
        <w:t>nivel</w:t>
      </w:r>
      <w:proofErr w:type="spellEnd"/>
      <w:r w:rsidRPr="001A64E2">
        <w:rPr>
          <w:rFonts w:ascii="Times New Roman" w:hAnsi="Times New Roman"/>
          <w:sz w:val="24"/>
          <w:szCs w:val="24"/>
        </w:rPr>
        <w:t xml:space="preserve"> de </w:t>
      </w:r>
      <w:proofErr w:type="spellStart"/>
      <w:r w:rsidRPr="001A64E2">
        <w:rPr>
          <w:rFonts w:ascii="Times New Roman" w:hAnsi="Times New Roman"/>
          <w:sz w:val="24"/>
          <w:szCs w:val="24"/>
        </w:rPr>
        <w:t>judeţ</w:t>
      </w:r>
      <w:proofErr w:type="spellEnd"/>
      <w:r w:rsidRPr="001A64E2">
        <w:rPr>
          <w:rFonts w:ascii="Times New Roman" w:hAnsi="Times New Roman"/>
          <w:sz w:val="24"/>
          <w:szCs w:val="24"/>
        </w:rPr>
        <w:t xml:space="preserve"> a </w:t>
      </w:r>
      <w:proofErr w:type="spellStart"/>
      <w:r w:rsidRPr="001A64E2">
        <w:rPr>
          <w:rFonts w:ascii="Times New Roman" w:hAnsi="Times New Roman"/>
          <w:sz w:val="24"/>
          <w:szCs w:val="24"/>
        </w:rPr>
        <w:t>dispoziţiilor</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Legii</w:t>
      </w:r>
      <w:proofErr w:type="spellEnd"/>
      <w:r w:rsidRPr="001A64E2">
        <w:rPr>
          <w:rFonts w:ascii="Times New Roman" w:hAnsi="Times New Roman"/>
          <w:sz w:val="24"/>
          <w:szCs w:val="24"/>
        </w:rPr>
        <w:t xml:space="preserve"> nr. 59/2016 </w:t>
      </w:r>
      <w:proofErr w:type="spellStart"/>
      <w:r w:rsidRPr="001A64E2">
        <w:rPr>
          <w:rFonts w:ascii="Times New Roman" w:hAnsi="Times New Roman"/>
          <w:sz w:val="24"/>
          <w:szCs w:val="24"/>
        </w:rPr>
        <w:t>privind</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controlul</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asupra</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pericolelor</w:t>
      </w:r>
      <w:proofErr w:type="spellEnd"/>
      <w:r w:rsidRPr="001A64E2">
        <w:rPr>
          <w:rFonts w:ascii="Times New Roman" w:hAnsi="Times New Roman"/>
          <w:sz w:val="24"/>
          <w:szCs w:val="24"/>
        </w:rPr>
        <w:t xml:space="preserve"> de accident major </w:t>
      </w:r>
      <w:proofErr w:type="spellStart"/>
      <w:r w:rsidRPr="001A64E2">
        <w:rPr>
          <w:rFonts w:ascii="Times New Roman" w:hAnsi="Times New Roman"/>
          <w:sz w:val="24"/>
          <w:szCs w:val="24"/>
        </w:rPr>
        <w:t>în</w:t>
      </w:r>
      <w:proofErr w:type="spellEnd"/>
      <w:r w:rsidRPr="001A64E2">
        <w:rPr>
          <w:rFonts w:ascii="Times New Roman" w:hAnsi="Times New Roman"/>
          <w:sz w:val="24"/>
          <w:szCs w:val="24"/>
        </w:rPr>
        <w:t xml:space="preserve"> care </w:t>
      </w:r>
      <w:proofErr w:type="spellStart"/>
      <w:r w:rsidRPr="001A64E2">
        <w:rPr>
          <w:rFonts w:ascii="Times New Roman" w:hAnsi="Times New Roman"/>
          <w:sz w:val="24"/>
          <w:szCs w:val="24"/>
        </w:rPr>
        <w:t>sunt</w:t>
      </w:r>
      <w:proofErr w:type="spellEnd"/>
      <w:r w:rsidRPr="001A64E2">
        <w:rPr>
          <w:rFonts w:ascii="Times New Roman" w:hAnsi="Times New Roman"/>
          <w:sz w:val="24"/>
          <w:szCs w:val="24"/>
        </w:rPr>
        <w:t xml:space="preserve"> implicate </w:t>
      </w:r>
      <w:proofErr w:type="spellStart"/>
      <w:r w:rsidRPr="001A64E2">
        <w:rPr>
          <w:rFonts w:ascii="Times New Roman" w:hAnsi="Times New Roman"/>
          <w:sz w:val="24"/>
          <w:szCs w:val="24"/>
        </w:rPr>
        <w:t>substanţe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periculoase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în</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anul</w:t>
      </w:r>
      <w:proofErr w:type="spellEnd"/>
      <w:r w:rsidRPr="001A64E2">
        <w:rPr>
          <w:rFonts w:ascii="Times New Roman" w:hAnsi="Times New Roman"/>
          <w:sz w:val="24"/>
          <w:szCs w:val="24"/>
        </w:rPr>
        <w:t xml:space="preserve"> 2022 APM Prahova: </w:t>
      </w:r>
    </w:p>
    <w:p w:rsidR="001A64E2" w:rsidRPr="001A64E2" w:rsidRDefault="001A64E2" w:rsidP="001A64E2">
      <w:pPr>
        <w:pStyle w:val="ListParagraph"/>
        <w:numPr>
          <w:ilvl w:val="0"/>
          <w:numId w:val="7"/>
        </w:numPr>
        <w:ind w:left="0" w:hanging="76"/>
        <w:jc w:val="both"/>
        <w:rPr>
          <w:rFonts w:ascii="Times New Roman" w:hAnsi="Times New Roman"/>
          <w:sz w:val="24"/>
          <w:szCs w:val="24"/>
        </w:rPr>
      </w:pPr>
      <w:proofErr w:type="gramStart"/>
      <w:r w:rsidRPr="001A64E2">
        <w:rPr>
          <w:rFonts w:ascii="Times New Roman" w:hAnsi="Times New Roman"/>
          <w:sz w:val="24"/>
          <w:szCs w:val="24"/>
        </w:rPr>
        <w:t>a</w:t>
      </w:r>
      <w:proofErr w:type="gramEnd"/>
      <w:r w:rsidRPr="001A64E2">
        <w:rPr>
          <w:rFonts w:ascii="Times New Roman" w:hAnsi="Times New Roman"/>
          <w:sz w:val="24"/>
          <w:szCs w:val="24"/>
        </w:rPr>
        <w:t xml:space="preserve"> </w:t>
      </w:r>
      <w:proofErr w:type="spellStart"/>
      <w:r w:rsidRPr="001A64E2">
        <w:rPr>
          <w:rFonts w:ascii="Times New Roman" w:hAnsi="Times New Roman"/>
          <w:sz w:val="24"/>
          <w:szCs w:val="24"/>
        </w:rPr>
        <w:t>actualizat</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baza</w:t>
      </w:r>
      <w:proofErr w:type="spellEnd"/>
      <w:r w:rsidRPr="001A64E2">
        <w:rPr>
          <w:rFonts w:ascii="Times New Roman" w:hAnsi="Times New Roman"/>
          <w:sz w:val="24"/>
          <w:szCs w:val="24"/>
        </w:rPr>
        <w:t xml:space="preserve"> de date </w:t>
      </w:r>
      <w:proofErr w:type="spellStart"/>
      <w:r w:rsidRPr="001A64E2">
        <w:rPr>
          <w:rFonts w:ascii="Times New Roman" w:hAnsi="Times New Roman"/>
          <w:sz w:val="24"/>
          <w:szCs w:val="24"/>
        </w:rPr>
        <w:t>amplasamentele</w:t>
      </w:r>
      <w:proofErr w:type="spellEnd"/>
      <w:r w:rsidRPr="001A64E2">
        <w:rPr>
          <w:rFonts w:ascii="Times New Roman" w:hAnsi="Times New Roman"/>
          <w:sz w:val="24"/>
          <w:szCs w:val="24"/>
        </w:rPr>
        <w:t xml:space="preserve"> care </w:t>
      </w:r>
      <w:proofErr w:type="spellStart"/>
      <w:r w:rsidRPr="001A64E2">
        <w:rPr>
          <w:rFonts w:ascii="Times New Roman" w:hAnsi="Times New Roman"/>
          <w:sz w:val="24"/>
          <w:szCs w:val="24"/>
        </w:rPr>
        <w:t>intră</w:t>
      </w:r>
      <w:proofErr w:type="spellEnd"/>
      <w:r w:rsidRPr="001A64E2">
        <w:rPr>
          <w:rFonts w:ascii="Times New Roman" w:hAnsi="Times New Roman"/>
          <w:sz w:val="24"/>
          <w:szCs w:val="24"/>
        </w:rPr>
        <w:t xml:space="preserve"> sub </w:t>
      </w:r>
      <w:proofErr w:type="spellStart"/>
      <w:r w:rsidRPr="001A64E2">
        <w:rPr>
          <w:rFonts w:ascii="Times New Roman" w:hAnsi="Times New Roman"/>
          <w:sz w:val="24"/>
          <w:szCs w:val="24"/>
        </w:rPr>
        <w:t>incidenţa</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prevederilor</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Legii</w:t>
      </w:r>
      <w:proofErr w:type="spellEnd"/>
      <w:r w:rsidRPr="001A64E2">
        <w:rPr>
          <w:rFonts w:ascii="Times New Roman" w:hAnsi="Times New Roman"/>
          <w:sz w:val="24"/>
          <w:szCs w:val="24"/>
        </w:rPr>
        <w:t xml:space="preserve"> nr. 59/2016 </w:t>
      </w:r>
      <w:proofErr w:type="spellStart"/>
      <w:r w:rsidRPr="001A64E2">
        <w:rPr>
          <w:rFonts w:ascii="Times New Roman" w:hAnsi="Times New Roman"/>
          <w:sz w:val="24"/>
          <w:szCs w:val="24"/>
        </w:rPr>
        <w:t>şi</w:t>
      </w:r>
      <w:proofErr w:type="spellEnd"/>
      <w:r w:rsidRPr="001A64E2">
        <w:rPr>
          <w:rFonts w:ascii="Times New Roman" w:hAnsi="Times New Roman"/>
          <w:sz w:val="24"/>
          <w:szCs w:val="24"/>
        </w:rPr>
        <w:t xml:space="preserve"> ale </w:t>
      </w:r>
      <w:proofErr w:type="spellStart"/>
      <w:r w:rsidRPr="001A64E2">
        <w:rPr>
          <w:rFonts w:ascii="Times New Roman" w:hAnsi="Times New Roman"/>
          <w:sz w:val="24"/>
          <w:szCs w:val="24"/>
        </w:rPr>
        <w:t>legislaţiei</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subsecvente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sunt</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inventariate</w:t>
      </w:r>
      <w:proofErr w:type="spellEnd"/>
      <w:r w:rsidRPr="001A64E2">
        <w:rPr>
          <w:rFonts w:ascii="Times New Roman" w:hAnsi="Times New Roman"/>
          <w:sz w:val="24"/>
          <w:szCs w:val="24"/>
        </w:rPr>
        <w:t xml:space="preserve"> 11 </w:t>
      </w:r>
      <w:proofErr w:type="spellStart"/>
      <w:r w:rsidRPr="001A64E2">
        <w:rPr>
          <w:rFonts w:ascii="Times New Roman" w:hAnsi="Times New Roman"/>
          <w:sz w:val="24"/>
          <w:szCs w:val="24"/>
        </w:rPr>
        <w:t>amplasamente</w:t>
      </w:r>
      <w:proofErr w:type="spellEnd"/>
      <w:r w:rsidRPr="001A64E2">
        <w:rPr>
          <w:rFonts w:ascii="Times New Roman" w:hAnsi="Times New Roman"/>
          <w:sz w:val="24"/>
          <w:szCs w:val="24"/>
        </w:rPr>
        <w:t xml:space="preserve">  SEVESO la </w:t>
      </w:r>
      <w:proofErr w:type="spellStart"/>
      <w:r w:rsidRPr="001A64E2">
        <w:rPr>
          <w:rFonts w:ascii="Times New Roman" w:hAnsi="Times New Roman"/>
          <w:sz w:val="24"/>
          <w:szCs w:val="24"/>
        </w:rPr>
        <w:t>nivelul</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judetului</w:t>
      </w:r>
      <w:proofErr w:type="spellEnd"/>
      <w:r w:rsidRPr="001A64E2">
        <w:rPr>
          <w:rFonts w:ascii="Times New Roman" w:hAnsi="Times New Roman"/>
          <w:sz w:val="24"/>
          <w:szCs w:val="24"/>
        </w:rPr>
        <w:t xml:space="preserve"> (6 </w:t>
      </w:r>
      <w:proofErr w:type="spellStart"/>
      <w:r w:rsidRPr="001A64E2">
        <w:rPr>
          <w:rFonts w:ascii="Times New Roman" w:hAnsi="Times New Roman"/>
          <w:sz w:val="24"/>
          <w:szCs w:val="24"/>
        </w:rPr>
        <w:t>amplasamente</w:t>
      </w:r>
      <w:proofErr w:type="spellEnd"/>
      <w:r w:rsidRPr="001A64E2">
        <w:rPr>
          <w:rFonts w:ascii="Times New Roman" w:hAnsi="Times New Roman"/>
          <w:sz w:val="24"/>
          <w:szCs w:val="24"/>
        </w:rPr>
        <w:t xml:space="preserve"> cu </w:t>
      </w:r>
      <w:proofErr w:type="spellStart"/>
      <w:r w:rsidRPr="001A64E2">
        <w:rPr>
          <w:rFonts w:ascii="Times New Roman" w:hAnsi="Times New Roman"/>
          <w:sz w:val="24"/>
          <w:szCs w:val="24"/>
        </w:rPr>
        <w:t>risc</w:t>
      </w:r>
      <w:proofErr w:type="spellEnd"/>
      <w:r w:rsidRPr="001A64E2">
        <w:rPr>
          <w:rFonts w:ascii="Times New Roman" w:hAnsi="Times New Roman"/>
          <w:sz w:val="24"/>
          <w:szCs w:val="24"/>
        </w:rPr>
        <w:t xml:space="preserve"> major </w:t>
      </w:r>
      <w:proofErr w:type="spellStart"/>
      <w:r w:rsidRPr="001A64E2">
        <w:rPr>
          <w:rFonts w:ascii="Times New Roman" w:hAnsi="Times New Roman"/>
          <w:sz w:val="24"/>
          <w:szCs w:val="24"/>
        </w:rPr>
        <w:t>si</w:t>
      </w:r>
      <w:proofErr w:type="spellEnd"/>
      <w:r w:rsidRPr="001A64E2">
        <w:rPr>
          <w:rFonts w:ascii="Times New Roman" w:hAnsi="Times New Roman"/>
          <w:sz w:val="24"/>
          <w:szCs w:val="24"/>
        </w:rPr>
        <w:t xml:space="preserve"> 5 </w:t>
      </w:r>
      <w:proofErr w:type="spellStart"/>
      <w:r w:rsidRPr="001A64E2">
        <w:rPr>
          <w:rFonts w:ascii="Times New Roman" w:hAnsi="Times New Roman"/>
          <w:sz w:val="24"/>
          <w:szCs w:val="24"/>
        </w:rPr>
        <w:t>amplasamente</w:t>
      </w:r>
      <w:proofErr w:type="spellEnd"/>
      <w:r w:rsidRPr="001A64E2">
        <w:rPr>
          <w:rFonts w:ascii="Times New Roman" w:hAnsi="Times New Roman"/>
          <w:sz w:val="24"/>
          <w:szCs w:val="24"/>
        </w:rPr>
        <w:t xml:space="preserve"> cu </w:t>
      </w:r>
      <w:proofErr w:type="spellStart"/>
      <w:r w:rsidRPr="001A64E2">
        <w:rPr>
          <w:rFonts w:ascii="Times New Roman" w:hAnsi="Times New Roman"/>
          <w:sz w:val="24"/>
          <w:szCs w:val="24"/>
        </w:rPr>
        <w:t>risc</w:t>
      </w:r>
      <w:proofErr w:type="spellEnd"/>
      <w:r w:rsidRPr="001A64E2">
        <w:rPr>
          <w:rFonts w:ascii="Times New Roman" w:hAnsi="Times New Roman"/>
          <w:sz w:val="24"/>
          <w:szCs w:val="24"/>
        </w:rPr>
        <w:t xml:space="preserve"> minor); </w:t>
      </w:r>
    </w:p>
    <w:p w:rsidR="001A64E2" w:rsidRPr="001A64E2" w:rsidRDefault="001A64E2" w:rsidP="001A64E2">
      <w:pPr>
        <w:pStyle w:val="ListParagraph"/>
        <w:numPr>
          <w:ilvl w:val="0"/>
          <w:numId w:val="7"/>
        </w:numPr>
        <w:ind w:left="0" w:hanging="76"/>
        <w:jc w:val="both"/>
        <w:rPr>
          <w:rFonts w:ascii="Times New Roman" w:hAnsi="Times New Roman"/>
          <w:sz w:val="24"/>
          <w:szCs w:val="24"/>
        </w:rPr>
      </w:pPr>
      <w:r w:rsidRPr="001A64E2">
        <w:rPr>
          <w:rFonts w:ascii="Times New Roman" w:hAnsi="Times New Roman"/>
          <w:sz w:val="24"/>
          <w:szCs w:val="24"/>
        </w:rPr>
        <w:t xml:space="preserve">a </w:t>
      </w:r>
      <w:proofErr w:type="spellStart"/>
      <w:r w:rsidRPr="001A64E2">
        <w:rPr>
          <w:rFonts w:ascii="Times New Roman" w:hAnsi="Times New Roman"/>
          <w:sz w:val="24"/>
          <w:szCs w:val="24"/>
        </w:rPr>
        <w:t>participat</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impreuna</w:t>
      </w:r>
      <w:proofErr w:type="spellEnd"/>
      <w:r w:rsidRPr="001A64E2">
        <w:rPr>
          <w:rFonts w:ascii="Times New Roman" w:hAnsi="Times New Roman"/>
          <w:sz w:val="24"/>
          <w:szCs w:val="24"/>
        </w:rPr>
        <w:t xml:space="preserve"> cu </w:t>
      </w:r>
      <w:proofErr w:type="spellStart"/>
      <w:r w:rsidRPr="001A64E2">
        <w:rPr>
          <w:rFonts w:ascii="Times New Roman" w:hAnsi="Times New Roman"/>
          <w:sz w:val="24"/>
          <w:szCs w:val="24"/>
        </w:rPr>
        <w:t>reprezentantii</w:t>
      </w:r>
      <w:proofErr w:type="spellEnd"/>
      <w:r w:rsidRPr="001A64E2">
        <w:rPr>
          <w:rFonts w:ascii="Times New Roman" w:hAnsi="Times New Roman"/>
          <w:sz w:val="24"/>
          <w:szCs w:val="24"/>
        </w:rPr>
        <w:t xml:space="preserve"> GNM CJ </w:t>
      </w:r>
      <w:proofErr w:type="spellStart"/>
      <w:r w:rsidRPr="001A64E2">
        <w:rPr>
          <w:rFonts w:ascii="Times New Roman" w:hAnsi="Times New Roman"/>
          <w:sz w:val="24"/>
          <w:szCs w:val="24"/>
        </w:rPr>
        <w:t>Prahova</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si</w:t>
      </w:r>
      <w:proofErr w:type="spellEnd"/>
      <w:r w:rsidRPr="001A64E2">
        <w:rPr>
          <w:rFonts w:ascii="Times New Roman" w:hAnsi="Times New Roman"/>
          <w:sz w:val="24"/>
          <w:szCs w:val="24"/>
        </w:rPr>
        <w:t xml:space="preserve"> ISU </w:t>
      </w:r>
      <w:proofErr w:type="spellStart"/>
      <w:r w:rsidRPr="001A64E2">
        <w:rPr>
          <w:rFonts w:ascii="Times New Roman" w:hAnsi="Times New Roman"/>
          <w:sz w:val="24"/>
          <w:szCs w:val="24"/>
        </w:rPr>
        <w:t>Prahova</w:t>
      </w:r>
      <w:proofErr w:type="spellEnd"/>
      <w:r w:rsidRPr="001A64E2">
        <w:rPr>
          <w:rFonts w:ascii="Times New Roman" w:hAnsi="Times New Roman"/>
          <w:sz w:val="24"/>
          <w:szCs w:val="24"/>
        </w:rPr>
        <w:t xml:space="preserve"> la </w:t>
      </w:r>
      <w:proofErr w:type="spellStart"/>
      <w:r w:rsidRPr="001A64E2">
        <w:rPr>
          <w:rFonts w:ascii="Times New Roman" w:hAnsi="Times New Roman"/>
          <w:sz w:val="24"/>
          <w:szCs w:val="24"/>
        </w:rPr>
        <w:t>verificarea</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în</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teren</w:t>
      </w:r>
      <w:proofErr w:type="spellEnd"/>
      <w:r w:rsidRPr="001A64E2">
        <w:rPr>
          <w:rFonts w:ascii="Times New Roman" w:hAnsi="Times New Roman"/>
          <w:sz w:val="24"/>
          <w:szCs w:val="24"/>
        </w:rPr>
        <w:t xml:space="preserve"> a </w:t>
      </w:r>
      <w:proofErr w:type="spellStart"/>
      <w:r w:rsidRPr="001A64E2">
        <w:rPr>
          <w:rFonts w:ascii="Times New Roman" w:hAnsi="Times New Roman"/>
          <w:sz w:val="24"/>
          <w:szCs w:val="24"/>
        </w:rPr>
        <w:t>amplasamentelor</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respectiv</w:t>
      </w:r>
      <w:proofErr w:type="spellEnd"/>
      <w:r w:rsidRPr="001A64E2">
        <w:rPr>
          <w:rFonts w:ascii="Times New Roman" w:hAnsi="Times New Roman"/>
          <w:sz w:val="24"/>
          <w:szCs w:val="24"/>
        </w:rPr>
        <w:t xml:space="preserve"> a </w:t>
      </w:r>
      <w:proofErr w:type="spellStart"/>
      <w:r w:rsidRPr="001A64E2">
        <w:rPr>
          <w:rFonts w:ascii="Times New Roman" w:hAnsi="Times New Roman"/>
          <w:sz w:val="24"/>
          <w:szCs w:val="24"/>
        </w:rPr>
        <w:t>titularilor</w:t>
      </w:r>
      <w:proofErr w:type="spellEnd"/>
      <w:r w:rsidRPr="001A64E2">
        <w:rPr>
          <w:rFonts w:ascii="Times New Roman" w:hAnsi="Times New Roman"/>
          <w:sz w:val="24"/>
          <w:szCs w:val="24"/>
        </w:rPr>
        <w:t xml:space="preserve"> de </w:t>
      </w:r>
      <w:proofErr w:type="spellStart"/>
      <w:r w:rsidRPr="001A64E2">
        <w:rPr>
          <w:rFonts w:ascii="Times New Roman" w:hAnsi="Times New Roman"/>
          <w:sz w:val="24"/>
          <w:szCs w:val="24"/>
        </w:rPr>
        <w:t>activitate</w:t>
      </w:r>
      <w:proofErr w:type="spellEnd"/>
      <w:r w:rsidRPr="001A64E2">
        <w:rPr>
          <w:rFonts w:ascii="Times New Roman" w:hAnsi="Times New Roman"/>
          <w:sz w:val="24"/>
          <w:szCs w:val="24"/>
        </w:rPr>
        <w:t xml:space="preserve">, cu </w:t>
      </w:r>
      <w:proofErr w:type="spellStart"/>
      <w:r w:rsidRPr="001A64E2">
        <w:rPr>
          <w:rFonts w:ascii="Times New Roman" w:hAnsi="Times New Roman"/>
          <w:sz w:val="24"/>
          <w:szCs w:val="24"/>
        </w:rPr>
        <w:t>privire</w:t>
      </w:r>
      <w:proofErr w:type="spellEnd"/>
      <w:r w:rsidRPr="001A64E2">
        <w:rPr>
          <w:rFonts w:ascii="Times New Roman" w:hAnsi="Times New Roman"/>
          <w:sz w:val="24"/>
          <w:szCs w:val="24"/>
        </w:rPr>
        <w:t xml:space="preserve"> la </w:t>
      </w:r>
      <w:proofErr w:type="spellStart"/>
      <w:r w:rsidRPr="001A64E2">
        <w:rPr>
          <w:rFonts w:ascii="Times New Roman" w:hAnsi="Times New Roman"/>
          <w:sz w:val="24"/>
          <w:szCs w:val="24"/>
        </w:rPr>
        <w:t>obligaţiile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prevăzute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în</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Legii</w:t>
      </w:r>
      <w:proofErr w:type="spellEnd"/>
      <w:r w:rsidRPr="001A64E2">
        <w:rPr>
          <w:rFonts w:ascii="Times New Roman" w:hAnsi="Times New Roman"/>
          <w:sz w:val="24"/>
          <w:szCs w:val="24"/>
        </w:rPr>
        <w:t xml:space="preserve"> nr. 59/2016 - s-a </w:t>
      </w:r>
      <w:proofErr w:type="spellStart"/>
      <w:r w:rsidRPr="001A64E2">
        <w:rPr>
          <w:rFonts w:ascii="Times New Roman" w:hAnsi="Times New Roman"/>
          <w:sz w:val="24"/>
          <w:szCs w:val="24"/>
        </w:rPr>
        <w:t>participat</w:t>
      </w:r>
      <w:proofErr w:type="spellEnd"/>
      <w:r w:rsidRPr="001A64E2">
        <w:rPr>
          <w:rFonts w:ascii="Times New Roman" w:hAnsi="Times New Roman"/>
          <w:sz w:val="24"/>
          <w:szCs w:val="24"/>
        </w:rPr>
        <w:t xml:space="preserve"> la 4 </w:t>
      </w:r>
      <w:proofErr w:type="spellStart"/>
      <w:r w:rsidRPr="001A64E2">
        <w:rPr>
          <w:rFonts w:ascii="Times New Roman" w:hAnsi="Times New Roman"/>
          <w:sz w:val="24"/>
          <w:szCs w:val="24"/>
        </w:rPr>
        <w:t>verificari</w:t>
      </w:r>
      <w:proofErr w:type="spellEnd"/>
      <w:r w:rsidRPr="001A64E2">
        <w:rPr>
          <w:rFonts w:ascii="Times New Roman" w:hAnsi="Times New Roman"/>
          <w:sz w:val="24"/>
          <w:szCs w:val="24"/>
        </w:rPr>
        <w:t xml:space="preserve"> SEVESO. </w:t>
      </w:r>
    </w:p>
    <w:p w:rsidR="001A64E2" w:rsidRPr="001A64E2" w:rsidRDefault="001A64E2" w:rsidP="001A64E2">
      <w:pPr>
        <w:pStyle w:val="ListParagraph"/>
        <w:numPr>
          <w:ilvl w:val="0"/>
          <w:numId w:val="7"/>
        </w:numPr>
        <w:ind w:left="0" w:hanging="76"/>
        <w:jc w:val="both"/>
        <w:rPr>
          <w:rFonts w:ascii="Times New Roman" w:hAnsi="Times New Roman"/>
          <w:sz w:val="24"/>
          <w:szCs w:val="24"/>
        </w:rPr>
      </w:pPr>
      <w:proofErr w:type="gramStart"/>
      <w:r w:rsidRPr="001A64E2">
        <w:rPr>
          <w:rFonts w:ascii="Times New Roman" w:hAnsi="Times New Roman"/>
          <w:sz w:val="24"/>
          <w:szCs w:val="24"/>
        </w:rPr>
        <w:t>a</w:t>
      </w:r>
      <w:proofErr w:type="gramEnd"/>
      <w:r w:rsidRPr="001A64E2">
        <w:rPr>
          <w:rFonts w:ascii="Times New Roman" w:hAnsi="Times New Roman"/>
          <w:sz w:val="24"/>
          <w:szCs w:val="24"/>
        </w:rPr>
        <w:t xml:space="preserve"> </w:t>
      </w:r>
      <w:proofErr w:type="spellStart"/>
      <w:r w:rsidRPr="001A64E2">
        <w:rPr>
          <w:rFonts w:ascii="Times New Roman" w:hAnsi="Times New Roman"/>
          <w:sz w:val="24"/>
          <w:szCs w:val="24"/>
        </w:rPr>
        <w:t>transmis</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votul</w:t>
      </w:r>
      <w:proofErr w:type="spellEnd"/>
      <w:r w:rsidRPr="001A64E2">
        <w:rPr>
          <w:rFonts w:ascii="Times New Roman" w:hAnsi="Times New Roman"/>
          <w:sz w:val="24"/>
          <w:szCs w:val="24"/>
        </w:rPr>
        <w:t xml:space="preserve"> electronic </w:t>
      </w:r>
      <w:proofErr w:type="spellStart"/>
      <w:r w:rsidRPr="001A64E2">
        <w:rPr>
          <w:rFonts w:ascii="Times New Roman" w:hAnsi="Times New Roman"/>
          <w:sz w:val="24"/>
          <w:szCs w:val="24"/>
        </w:rPr>
        <w:t>pentru</w:t>
      </w:r>
      <w:proofErr w:type="spellEnd"/>
      <w:r w:rsidRPr="001A64E2">
        <w:rPr>
          <w:rFonts w:ascii="Times New Roman" w:hAnsi="Times New Roman"/>
          <w:sz w:val="24"/>
          <w:szCs w:val="24"/>
        </w:rPr>
        <w:t xml:space="preserve"> 15 </w:t>
      </w:r>
      <w:proofErr w:type="spellStart"/>
      <w:r w:rsidRPr="001A64E2">
        <w:rPr>
          <w:rFonts w:ascii="Times New Roman" w:hAnsi="Times New Roman"/>
          <w:sz w:val="24"/>
          <w:szCs w:val="24"/>
        </w:rPr>
        <w:t>solicitări</w:t>
      </w:r>
      <w:proofErr w:type="spellEnd"/>
      <w:r w:rsidRPr="001A64E2">
        <w:rPr>
          <w:rFonts w:ascii="Times New Roman" w:hAnsi="Times New Roman"/>
          <w:sz w:val="24"/>
          <w:szCs w:val="24"/>
        </w:rPr>
        <w:t xml:space="preserve"> de </w:t>
      </w:r>
      <w:proofErr w:type="spellStart"/>
      <w:r w:rsidRPr="001A64E2">
        <w:rPr>
          <w:rFonts w:ascii="Times New Roman" w:hAnsi="Times New Roman"/>
          <w:sz w:val="24"/>
          <w:szCs w:val="24"/>
        </w:rPr>
        <w:t>compatibilitate</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teritorială</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în</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jurul</w:t>
      </w:r>
      <w:proofErr w:type="spellEnd"/>
      <w:r w:rsidRPr="001A64E2">
        <w:rPr>
          <w:rFonts w:ascii="Times New Roman" w:hAnsi="Times New Roman"/>
          <w:sz w:val="24"/>
          <w:szCs w:val="24"/>
        </w:rPr>
        <w:t xml:space="preserve"> </w:t>
      </w:r>
      <w:proofErr w:type="spellStart"/>
      <w:r w:rsidRPr="001A64E2">
        <w:rPr>
          <w:rFonts w:ascii="Times New Roman" w:hAnsi="Times New Roman"/>
          <w:sz w:val="24"/>
          <w:szCs w:val="24"/>
        </w:rPr>
        <w:t>amplasamentelor</w:t>
      </w:r>
      <w:proofErr w:type="spellEnd"/>
      <w:r w:rsidRPr="001A64E2">
        <w:rPr>
          <w:rFonts w:ascii="Times New Roman" w:hAnsi="Times New Roman"/>
          <w:sz w:val="24"/>
          <w:szCs w:val="24"/>
        </w:rPr>
        <w:t xml:space="preserve"> SEVESO conform </w:t>
      </w:r>
      <w:proofErr w:type="spellStart"/>
      <w:r w:rsidRPr="001A64E2">
        <w:rPr>
          <w:rFonts w:ascii="Times New Roman" w:hAnsi="Times New Roman"/>
          <w:sz w:val="24"/>
          <w:szCs w:val="24"/>
        </w:rPr>
        <w:t>cerintelor</w:t>
      </w:r>
      <w:proofErr w:type="spellEnd"/>
      <w:r w:rsidRPr="001A64E2">
        <w:rPr>
          <w:rFonts w:ascii="Times New Roman" w:hAnsi="Times New Roman"/>
          <w:sz w:val="24"/>
          <w:szCs w:val="24"/>
        </w:rPr>
        <w:t xml:space="preserve"> art. 13 din </w:t>
      </w:r>
      <w:proofErr w:type="gramStart"/>
      <w:r w:rsidRPr="001A64E2">
        <w:rPr>
          <w:rFonts w:ascii="Times New Roman" w:hAnsi="Times New Roman"/>
          <w:sz w:val="24"/>
          <w:szCs w:val="24"/>
        </w:rPr>
        <w:t>ORDIN  Nr</w:t>
      </w:r>
      <w:proofErr w:type="gramEnd"/>
      <w:r w:rsidRPr="001A64E2">
        <w:rPr>
          <w:rFonts w:ascii="Times New Roman" w:hAnsi="Times New Roman"/>
          <w:sz w:val="24"/>
          <w:szCs w:val="24"/>
        </w:rPr>
        <w:t xml:space="preserve">. 3710/1212/99/2017 din 19 </w:t>
      </w:r>
      <w:proofErr w:type="spellStart"/>
      <w:r w:rsidRPr="001A64E2">
        <w:rPr>
          <w:rFonts w:ascii="Times New Roman" w:hAnsi="Times New Roman"/>
          <w:sz w:val="24"/>
          <w:szCs w:val="24"/>
        </w:rPr>
        <w:t>iulie</w:t>
      </w:r>
      <w:proofErr w:type="spellEnd"/>
      <w:r w:rsidRPr="001A64E2">
        <w:rPr>
          <w:rFonts w:ascii="Times New Roman" w:hAnsi="Times New Roman"/>
          <w:sz w:val="24"/>
          <w:szCs w:val="24"/>
        </w:rPr>
        <w:t xml:space="preserve"> 2017.</w:t>
      </w:r>
    </w:p>
    <w:p w:rsidR="001A64E2" w:rsidRPr="001A64E2" w:rsidRDefault="001A64E2" w:rsidP="001A64E2">
      <w:pPr>
        <w:pStyle w:val="ListParagraph"/>
        <w:ind w:left="0" w:hanging="76"/>
        <w:jc w:val="both"/>
        <w:rPr>
          <w:rFonts w:ascii="Times New Roman" w:hAnsi="Times New Roman"/>
          <w:sz w:val="24"/>
          <w:szCs w:val="24"/>
        </w:rPr>
      </w:pPr>
    </w:p>
    <w:p w:rsidR="00B230C0" w:rsidRPr="00240E25" w:rsidRDefault="00B230C0" w:rsidP="00813468">
      <w:pPr>
        <w:pStyle w:val="Title"/>
        <w:ind w:left="284" w:right="-1"/>
        <w:jc w:val="both"/>
        <w:rPr>
          <w:szCs w:val="24"/>
        </w:rPr>
      </w:pPr>
    </w:p>
    <w:p w:rsidR="00B230C0" w:rsidRPr="00721CE5" w:rsidRDefault="00B230C0" w:rsidP="00813468">
      <w:pPr>
        <w:pStyle w:val="Title"/>
        <w:ind w:left="284" w:right="-1" w:firstLine="284"/>
        <w:jc w:val="both"/>
        <w:rPr>
          <w:szCs w:val="24"/>
        </w:rPr>
      </w:pPr>
      <w:r w:rsidRPr="00721CE5">
        <w:rPr>
          <w:szCs w:val="24"/>
        </w:rPr>
        <w:t>MONITORIZARE ȘI LABORATOARE</w:t>
      </w:r>
    </w:p>
    <w:p w:rsidR="00B230C0" w:rsidRPr="00721CE5" w:rsidRDefault="00B230C0" w:rsidP="00813468">
      <w:pPr>
        <w:pStyle w:val="Title"/>
        <w:ind w:left="284" w:right="-81"/>
        <w:jc w:val="both"/>
        <w:rPr>
          <w:szCs w:val="24"/>
        </w:rPr>
      </w:pPr>
    </w:p>
    <w:p w:rsidR="00B230C0" w:rsidRPr="00721CE5" w:rsidRDefault="00B230C0" w:rsidP="00813468">
      <w:pPr>
        <w:pStyle w:val="Title"/>
        <w:ind w:left="284" w:right="-81"/>
        <w:jc w:val="both"/>
        <w:rPr>
          <w:szCs w:val="24"/>
        </w:rPr>
      </w:pPr>
    </w:p>
    <w:p w:rsidR="00B230C0" w:rsidRPr="00721CE5" w:rsidRDefault="00B230C0" w:rsidP="00813468">
      <w:pPr>
        <w:pStyle w:val="Title"/>
        <w:ind w:left="284" w:right="-81" w:firstLine="284"/>
        <w:jc w:val="both"/>
        <w:rPr>
          <w:szCs w:val="24"/>
        </w:rPr>
      </w:pPr>
      <w:r w:rsidRPr="00721CE5">
        <w:rPr>
          <w:szCs w:val="24"/>
        </w:rPr>
        <w:t xml:space="preserve">AER </w:t>
      </w:r>
    </w:p>
    <w:p w:rsidR="00B230C0" w:rsidRPr="00721CE5" w:rsidRDefault="00B230C0" w:rsidP="00813468">
      <w:pPr>
        <w:pStyle w:val="Title"/>
        <w:ind w:left="284" w:right="-81"/>
        <w:jc w:val="both"/>
        <w:rPr>
          <w:szCs w:val="24"/>
        </w:rPr>
      </w:pPr>
    </w:p>
    <w:p w:rsidR="00B230C0" w:rsidRPr="00FB03D8" w:rsidRDefault="00B230C0" w:rsidP="00813468">
      <w:pPr>
        <w:ind w:left="284" w:right="-81" w:firstLine="340"/>
        <w:jc w:val="both"/>
        <w:rPr>
          <w:b/>
        </w:rPr>
      </w:pPr>
      <w:r w:rsidRPr="00FB03D8">
        <w:rPr>
          <w:bCs/>
          <w:lang w:val="ro-RO"/>
        </w:rPr>
        <w:t>A.P.M. Prahova a monitorizat în anul 2023 calitatea aerului ambiental, astfel:</w:t>
      </w:r>
    </w:p>
    <w:p w:rsidR="00B230C0" w:rsidRPr="00FB03D8" w:rsidRDefault="00B230C0" w:rsidP="00813468">
      <w:pPr>
        <w:ind w:left="284" w:right="-81" w:firstLine="720"/>
        <w:jc w:val="both"/>
        <w:rPr>
          <w:lang w:val="ro-RO"/>
        </w:rPr>
      </w:pPr>
    </w:p>
    <w:p w:rsidR="00B230C0" w:rsidRPr="007E7A30" w:rsidRDefault="00B230C0" w:rsidP="007E7A30">
      <w:pPr>
        <w:pStyle w:val="ListParagraph"/>
        <w:numPr>
          <w:ilvl w:val="0"/>
          <w:numId w:val="8"/>
        </w:numPr>
        <w:ind w:right="-81"/>
        <w:jc w:val="both"/>
        <w:rPr>
          <w:rFonts w:ascii="Times New Roman" w:hAnsi="Times New Roman"/>
          <w:sz w:val="24"/>
          <w:szCs w:val="24"/>
          <w:lang w:val="ro-RO"/>
        </w:rPr>
      </w:pPr>
      <w:r w:rsidRPr="007E7A30">
        <w:rPr>
          <w:rFonts w:ascii="Times New Roman" w:hAnsi="Times New Roman"/>
          <w:sz w:val="24"/>
          <w:szCs w:val="24"/>
          <w:lang w:val="ro-RO"/>
        </w:rPr>
        <w:t xml:space="preserve">A.P.M. Prahova monitorizează calitatea aerului ambiental prin cele </w:t>
      </w:r>
      <w:r w:rsidRPr="007E7A30">
        <w:rPr>
          <w:rFonts w:ascii="Times New Roman" w:hAnsi="Times New Roman"/>
          <w:b/>
          <w:sz w:val="24"/>
          <w:szCs w:val="24"/>
          <w:lang w:val="ro-RO"/>
        </w:rPr>
        <w:t>7 sta</w:t>
      </w:r>
      <w:r w:rsidR="007E7A30" w:rsidRPr="007E7A30">
        <w:rPr>
          <w:rFonts w:ascii="Times New Roman" w:hAnsi="Times New Roman"/>
          <w:b/>
          <w:sz w:val="24"/>
          <w:szCs w:val="24"/>
          <w:lang w:val="ro-RO"/>
        </w:rPr>
        <w:t>ț</w:t>
      </w:r>
      <w:r w:rsidRPr="007E7A30">
        <w:rPr>
          <w:rFonts w:ascii="Times New Roman" w:hAnsi="Times New Roman"/>
          <w:b/>
          <w:sz w:val="24"/>
          <w:szCs w:val="24"/>
          <w:lang w:val="ro-RO"/>
        </w:rPr>
        <w:t>ii automate</w:t>
      </w:r>
      <w:r w:rsidRPr="007E7A30">
        <w:rPr>
          <w:rFonts w:ascii="Times New Roman" w:hAnsi="Times New Roman"/>
          <w:sz w:val="24"/>
          <w:szCs w:val="24"/>
          <w:lang w:val="ro-RO"/>
        </w:rPr>
        <w:t xml:space="preserve"> în conformitate cu </w:t>
      </w:r>
      <w:r w:rsidRPr="007E7A30">
        <w:rPr>
          <w:rFonts w:ascii="Times New Roman" w:hAnsi="Times New Roman"/>
          <w:i/>
          <w:sz w:val="24"/>
          <w:szCs w:val="24"/>
          <w:lang w:val="ro-RO"/>
        </w:rPr>
        <w:t>Legea 104/2011 privind calitatea factorilor de mediu</w:t>
      </w:r>
      <w:r w:rsidRPr="007E7A30">
        <w:rPr>
          <w:rFonts w:ascii="Times New Roman" w:hAnsi="Times New Roman"/>
          <w:sz w:val="24"/>
          <w:szCs w:val="24"/>
          <w:lang w:val="ro-RO"/>
        </w:rPr>
        <w:t>. Locaţia staţiilor automate  de monitorizare a calităţii aerului în aglomerarea Ploieşti, precum şi parametrii monitorizaţi sunt următorii:</w:t>
      </w:r>
    </w:p>
    <w:p w:rsidR="00B230C0" w:rsidRPr="00721CE5" w:rsidRDefault="00B230C0" w:rsidP="00813468">
      <w:pPr>
        <w:tabs>
          <w:tab w:val="left" w:pos="567"/>
        </w:tabs>
        <w:ind w:left="284" w:right="-81"/>
        <w:jc w:val="both"/>
        <w:rPr>
          <w:lang w:val="ro-RO"/>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1490"/>
        <w:gridCol w:w="2490"/>
        <w:gridCol w:w="5227"/>
      </w:tblGrid>
      <w:tr w:rsidR="000C066D" w:rsidRPr="00721CE5" w:rsidTr="004F4425">
        <w:trPr>
          <w:jc w:val="center"/>
        </w:trPr>
        <w:tc>
          <w:tcPr>
            <w:tcW w:w="574" w:type="dxa"/>
          </w:tcPr>
          <w:p w:rsidR="00B230C0" w:rsidRPr="00721CE5" w:rsidRDefault="00B230C0" w:rsidP="002D4EA8">
            <w:pPr>
              <w:rPr>
                <w:b/>
              </w:rPr>
            </w:pPr>
            <w:r w:rsidRPr="00721CE5">
              <w:rPr>
                <w:b/>
              </w:rPr>
              <w:t>Nr.</w:t>
            </w:r>
          </w:p>
          <w:p w:rsidR="00B230C0" w:rsidRPr="00721CE5" w:rsidRDefault="00B230C0" w:rsidP="002D4EA8">
            <w:pPr>
              <w:rPr>
                <w:b/>
              </w:rPr>
            </w:pPr>
            <w:proofErr w:type="spellStart"/>
            <w:proofErr w:type="gramStart"/>
            <w:r w:rsidRPr="00721CE5">
              <w:rPr>
                <w:b/>
              </w:rPr>
              <w:t>crt</w:t>
            </w:r>
            <w:proofErr w:type="spellEnd"/>
            <w:proofErr w:type="gramEnd"/>
            <w:r w:rsidRPr="00721CE5">
              <w:rPr>
                <w:b/>
              </w:rPr>
              <w:t>.</w:t>
            </w:r>
          </w:p>
        </w:tc>
        <w:tc>
          <w:tcPr>
            <w:tcW w:w="1490" w:type="dxa"/>
          </w:tcPr>
          <w:p w:rsidR="00B230C0" w:rsidRPr="00721CE5" w:rsidRDefault="00B230C0" w:rsidP="002D4EA8">
            <w:pPr>
              <w:rPr>
                <w:b/>
              </w:rPr>
            </w:pPr>
            <w:r w:rsidRPr="00721CE5">
              <w:rPr>
                <w:b/>
              </w:rPr>
              <w:t>Tip</w:t>
            </w:r>
          </w:p>
        </w:tc>
        <w:tc>
          <w:tcPr>
            <w:tcW w:w="2490" w:type="dxa"/>
          </w:tcPr>
          <w:p w:rsidR="00B230C0" w:rsidRPr="00721CE5" w:rsidRDefault="00B230C0" w:rsidP="002D4EA8">
            <w:pPr>
              <w:rPr>
                <w:b/>
              </w:rPr>
            </w:pPr>
            <w:proofErr w:type="spellStart"/>
            <w:r w:rsidRPr="00721CE5">
              <w:rPr>
                <w:b/>
              </w:rPr>
              <w:t>Locatie</w:t>
            </w:r>
            <w:proofErr w:type="spellEnd"/>
          </w:p>
        </w:tc>
        <w:tc>
          <w:tcPr>
            <w:tcW w:w="5227" w:type="dxa"/>
          </w:tcPr>
          <w:p w:rsidR="00B230C0" w:rsidRPr="00721CE5" w:rsidRDefault="00B230C0" w:rsidP="002D4EA8">
            <w:pPr>
              <w:rPr>
                <w:b/>
              </w:rPr>
            </w:pPr>
            <w:proofErr w:type="spellStart"/>
            <w:r w:rsidRPr="00721CE5">
              <w:rPr>
                <w:b/>
              </w:rPr>
              <w:t>Parametri</w:t>
            </w:r>
            <w:proofErr w:type="spellEnd"/>
            <w:r w:rsidRPr="00721CE5">
              <w:rPr>
                <w:b/>
              </w:rPr>
              <w:t xml:space="preserve"> </w:t>
            </w:r>
            <w:proofErr w:type="spellStart"/>
            <w:r w:rsidRPr="00721CE5">
              <w:rPr>
                <w:b/>
              </w:rPr>
              <w:t>monitorizati</w:t>
            </w:r>
            <w:proofErr w:type="spellEnd"/>
          </w:p>
        </w:tc>
      </w:tr>
      <w:tr w:rsidR="000C066D" w:rsidRPr="00721CE5" w:rsidTr="004F4425">
        <w:trPr>
          <w:jc w:val="center"/>
        </w:trPr>
        <w:tc>
          <w:tcPr>
            <w:tcW w:w="574" w:type="dxa"/>
          </w:tcPr>
          <w:p w:rsidR="00B230C0" w:rsidRPr="00721CE5" w:rsidRDefault="00B230C0" w:rsidP="002D4EA8">
            <w:r w:rsidRPr="00721CE5">
              <w:t>1</w:t>
            </w:r>
          </w:p>
        </w:tc>
        <w:tc>
          <w:tcPr>
            <w:tcW w:w="1490" w:type="dxa"/>
          </w:tcPr>
          <w:p w:rsidR="00B230C0" w:rsidRPr="00721CE5" w:rsidRDefault="00B230C0" w:rsidP="002D4EA8">
            <w:r w:rsidRPr="00721CE5">
              <w:t>Fond urban</w:t>
            </w:r>
          </w:p>
        </w:tc>
        <w:tc>
          <w:tcPr>
            <w:tcW w:w="2490" w:type="dxa"/>
          </w:tcPr>
          <w:p w:rsidR="00B230C0" w:rsidRPr="00721CE5" w:rsidRDefault="00B230C0" w:rsidP="002D4EA8">
            <w:proofErr w:type="spellStart"/>
            <w:r w:rsidRPr="00721CE5">
              <w:t>Piaţa</w:t>
            </w:r>
            <w:proofErr w:type="spellEnd"/>
            <w:r w:rsidRPr="00721CE5">
              <w:t xml:space="preserve"> Victoriei-PH2</w:t>
            </w:r>
          </w:p>
        </w:tc>
        <w:tc>
          <w:tcPr>
            <w:tcW w:w="5227" w:type="dxa"/>
          </w:tcPr>
          <w:p w:rsidR="00B230C0" w:rsidRPr="00721CE5" w:rsidRDefault="00B230C0" w:rsidP="002D4EA8">
            <w:pPr>
              <w:rPr>
                <w:lang w:val="pt-BR"/>
              </w:rPr>
            </w:pPr>
            <w:r w:rsidRPr="00721CE5">
              <w:rPr>
                <w:lang w:val="pt-BR"/>
              </w:rPr>
              <w:t>NO</w:t>
            </w:r>
            <w:r w:rsidRPr="00721CE5">
              <w:rPr>
                <w:vertAlign w:val="subscript"/>
                <w:lang w:val="pt-BR"/>
              </w:rPr>
              <w:t>x,</w:t>
            </w:r>
            <w:r w:rsidRPr="00721CE5">
              <w:rPr>
                <w:lang w:val="pt-BR"/>
              </w:rPr>
              <w:t>SO</w:t>
            </w:r>
            <w:r w:rsidRPr="00721CE5">
              <w:rPr>
                <w:vertAlign w:val="subscript"/>
                <w:lang w:val="pt-BR"/>
              </w:rPr>
              <w:t>2</w:t>
            </w:r>
            <w:r w:rsidRPr="00721CE5">
              <w:rPr>
                <w:lang w:val="pt-BR"/>
              </w:rPr>
              <w:t>,CO,O</w:t>
            </w:r>
            <w:r w:rsidRPr="00721CE5">
              <w:rPr>
                <w:vertAlign w:val="subscript"/>
                <w:lang w:val="pt-BR"/>
              </w:rPr>
              <w:t>3</w:t>
            </w:r>
            <w:r w:rsidRPr="00721CE5">
              <w:rPr>
                <w:lang w:val="pt-BR"/>
              </w:rPr>
              <w:t>,PM</w:t>
            </w:r>
            <w:r w:rsidRPr="00721CE5">
              <w:rPr>
                <w:vertAlign w:val="subscript"/>
                <w:lang w:val="pt-BR"/>
              </w:rPr>
              <w:t>2,5gravimetric</w:t>
            </w:r>
            <w:r w:rsidRPr="00721CE5">
              <w:rPr>
                <w:lang w:val="pt-BR"/>
              </w:rPr>
              <w:t>,PM10</w:t>
            </w:r>
            <w:r w:rsidRPr="00721CE5">
              <w:rPr>
                <w:vertAlign w:val="subscript"/>
                <w:lang w:val="pt-BR"/>
              </w:rPr>
              <w:t xml:space="preserve">gravimetric si </w:t>
            </w:r>
            <w:r w:rsidRPr="00721CE5">
              <w:rPr>
                <w:lang w:val="pt-BR"/>
              </w:rPr>
              <w:t>si nefelometric, metale grele,COV, parametrii meteo</w:t>
            </w:r>
          </w:p>
        </w:tc>
      </w:tr>
      <w:tr w:rsidR="000C066D" w:rsidRPr="00721CE5" w:rsidTr="004F4425">
        <w:trPr>
          <w:jc w:val="center"/>
        </w:trPr>
        <w:tc>
          <w:tcPr>
            <w:tcW w:w="574" w:type="dxa"/>
          </w:tcPr>
          <w:p w:rsidR="00B230C0" w:rsidRPr="00721CE5" w:rsidRDefault="00B230C0" w:rsidP="002D4EA8">
            <w:r w:rsidRPr="00721CE5">
              <w:t>2</w:t>
            </w:r>
          </w:p>
        </w:tc>
        <w:tc>
          <w:tcPr>
            <w:tcW w:w="1490" w:type="dxa"/>
          </w:tcPr>
          <w:p w:rsidR="00B230C0" w:rsidRPr="00721CE5" w:rsidRDefault="00B230C0" w:rsidP="002D4EA8">
            <w:proofErr w:type="spellStart"/>
            <w:r w:rsidRPr="00721CE5">
              <w:t>Trafic</w:t>
            </w:r>
            <w:proofErr w:type="spellEnd"/>
          </w:p>
        </w:tc>
        <w:tc>
          <w:tcPr>
            <w:tcW w:w="2490" w:type="dxa"/>
          </w:tcPr>
          <w:p w:rsidR="00B230C0" w:rsidRPr="00721CE5" w:rsidRDefault="00B230C0" w:rsidP="002D4EA8">
            <w:proofErr w:type="spellStart"/>
            <w:r w:rsidRPr="00721CE5">
              <w:t>Bdul</w:t>
            </w:r>
            <w:proofErr w:type="spellEnd"/>
            <w:r w:rsidRPr="00721CE5">
              <w:t xml:space="preserve"> </w:t>
            </w:r>
            <w:proofErr w:type="spellStart"/>
            <w:r w:rsidRPr="00721CE5">
              <w:t>Bucureşti</w:t>
            </w:r>
            <w:proofErr w:type="spellEnd"/>
            <w:r w:rsidRPr="00721CE5">
              <w:t xml:space="preserve"> –PH5</w:t>
            </w:r>
          </w:p>
        </w:tc>
        <w:tc>
          <w:tcPr>
            <w:tcW w:w="5227" w:type="dxa"/>
          </w:tcPr>
          <w:p w:rsidR="00B230C0" w:rsidRPr="00721CE5" w:rsidRDefault="00B230C0" w:rsidP="002D4EA8">
            <w:r w:rsidRPr="00721CE5">
              <w:t>NO</w:t>
            </w:r>
            <w:r w:rsidRPr="00721CE5">
              <w:rPr>
                <w:vertAlign w:val="subscript"/>
              </w:rPr>
              <w:t xml:space="preserve">x, </w:t>
            </w:r>
            <w:r w:rsidRPr="00721CE5">
              <w:t>SO</w:t>
            </w:r>
            <w:r w:rsidRPr="00721CE5">
              <w:rPr>
                <w:vertAlign w:val="subscript"/>
              </w:rPr>
              <w:t>2</w:t>
            </w:r>
            <w:r w:rsidRPr="00721CE5">
              <w:t>, CO, COV, PM</w:t>
            </w:r>
            <w:r w:rsidRPr="00721CE5">
              <w:rPr>
                <w:vertAlign w:val="subscript"/>
              </w:rPr>
              <w:t xml:space="preserve">10  gravimetric </w:t>
            </w:r>
            <w:proofErr w:type="spellStart"/>
            <w:r w:rsidRPr="00721CE5">
              <w:rPr>
                <w:vertAlign w:val="subscript"/>
              </w:rPr>
              <w:t>si</w:t>
            </w:r>
            <w:proofErr w:type="spellEnd"/>
            <w:r w:rsidRPr="00721CE5">
              <w:rPr>
                <w:vertAlign w:val="subscript"/>
              </w:rPr>
              <w:t xml:space="preserve"> </w:t>
            </w:r>
            <w:proofErr w:type="spellStart"/>
            <w:r w:rsidRPr="00721CE5">
              <w:rPr>
                <w:vertAlign w:val="subscript"/>
              </w:rPr>
              <w:t>nefelometric</w:t>
            </w:r>
            <w:proofErr w:type="spellEnd"/>
          </w:p>
        </w:tc>
      </w:tr>
      <w:tr w:rsidR="000C066D" w:rsidRPr="00721CE5" w:rsidTr="004F4425">
        <w:trPr>
          <w:jc w:val="center"/>
        </w:trPr>
        <w:tc>
          <w:tcPr>
            <w:tcW w:w="574" w:type="dxa"/>
          </w:tcPr>
          <w:p w:rsidR="00B230C0" w:rsidRPr="00721CE5" w:rsidRDefault="00B230C0" w:rsidP="002D4EA8">
            <w:r w:rsidRPr="00721CE5">
              <w:t>3</w:t>
            </w:r>
          </w:p>
        </w:tc>
        <w:tc>
          <w:tcPr>
            <w:tcW w:w="1490" w:type="dxa"/>
          </w:tcPr>
          <w:p w:rsidR="00B230C0" w:rsidRPr="00721CE5" w:rsidRDefault="00B230C0" w:rsidP="002D4EA8">
            <w:proofErr w:type="spellStart"/>
            <w:r w:rsidRPr="00721CE5">
              <w:t>Trafic</w:t>
            </w:r>
            <w:proofErr w:type="spellEnd"/>
          </w:p>
        </w:tc>
        <w:tc>
          <w:tcPr>
            <w:tcW w:w="2490" w:type="dxa"/>
          </w:tcPr>
          <w:p w:rsidR="00B230C0" w:rsidRPr="00721CE5" w:rsidRDefault="00B230C0" w:rsidP="002D4EA8">
            <w:pPr>
              <w:rPr>
                <w:lang w:val="it-IT"/>
              </w:rPr>
            </w:pPr>
            <w:r w:rsidRPr="00721CE5">
              <w:rPr>
                <w:lang w:val="it-IT"/>
              </w:rPr>
              <w:t>str Ghe Gr Cantacuzino –PH1</w:t>
            </w:r>
          </w:p>
        </w:tc>
        <w:tc>
          <w:tcPr>
            <w:tcW w:w="5227" w:type="dxa"/>
          </w:tcPr>
          <w:p w:rsidR="00B230C0" w:rsidRPr="00721CE5" w:rsidRDefault="00B230C0" w:rsidP="002D4EA8">
            <w:r w:rsidRPr="00721CE5">
              <w:t>NO</w:t>
            </w:r>
            <w:r w:rsidRPr="00721CE5">
              <w:rPr>
                <w:vertAlign w:val="subscript"/>
              </w:rPr>
              <w:t xml:space="preserve">x, </w:t>
            </w:r>
            <w:r w:rsidRPr="00721CE5">
              <w:t>SO</w:t>
            </w:r>
            <w:r w:rsidRPr="00721CE5">
              <w:rPr>
                <w:vertAlign w:val="subscript"/>
              </w:rPr>
              <w:t>2</w:t>
            </w:r>
            <w:r w:rsidRPr="00721CE5">
              <w:t>, CO, PM</w:t>
            </w:r>
            <w:r w:rsidRPr="00721CE5">
              <w:rPr>
                <w:vertAlign w:val="subscript"/>
              </w:rPr>
              <w:t xml:space="preserve">10  gravimetric </w:t>
            </w:r>
            <w:proofErr w:type="spellStart"/>
            <w:r w:rsidRPr="00721CE5">
              <w:rPr>
                <w:vertAlign w:val="subscript"/>
              </w:rPr>
              <w:t>si</w:t>
            </w:r>
            <w:proofErr w:type="spellEnd"/>
            <w:r w:rsidRPr="00721CE5">
              <w:rPr>
                <w:vertAlign w:val="subscript"/>
              </w:rPr>
              <w:t xml:space="preserve"> </w:t>
            </w:r>
            <w:proofErr w:type="spellStart"/>
            <w:r w:rsidRPr="00721CE5">
              <w:rPr>
                <w:vertAlign w:val="subscript"/>
              </w:rPr>
              <w:t>nefelometric</w:t>
            </w:r>
            <w:proofErr w:type="spellEnd"/>
            <w:r w:rsidRPr="00721CE5">
              <w:t>, COV,</w:t>
            </w:r>
          </w:p>
        </w:tc>
      </w:tr>
      <w:tr w:rsidR="000C066D" w:rsidRPr="00721CE5" w:rsidTr="004F4425">
        <w:trPr>
          <w:jc w:val="center"/>
        </w:trPr>
        <w:tc>
          <w:tcPr>
            <w:tcW w:w="574" w:type="dxa"/>
          </w:tcPr>
          <w:p w:rsidR="00B230C0" w:rsidRPr="00721CE5" w:rsidRDefault="00B230C0" w:rsidP="002D4EA8">
            <w:r w:rsidRPr="00721CE5">
              <w:t>4</w:t>
            </w:r>
          </w:p>
        </w:tc>
        <w:tc>
          <w:tcPr>
            <w:tcW w:w="1490" w:type="dxa"/>
          </w:tcPr>
          <w:p w:rsidR="00B230C0" w:rsidRPr="00721CE5" w:rsidRDefault="00B230C0" w:rsidP="002D4EA8">
            <w:r w:rsidRPr="00721CE5">
              <w:t>Industrial</w:t>
            </w:r>
          </w:p>
        </w:tc>
        <w:tc>
          <w:tcPr>
            <w:tcW w:w="2490" w:type="dxa"/>
          </w:tcPr>
          <w:p w:rsidR="00B230C0" w:rsidRPr="00721CE5" w:rsidRDefault="00B230C0" w:rsidP="002D4EA8">
            <w:proofErr w:type="spellStart"/>
            <w:r w:rsidRPr="00721CE5">
              <w:t>str</w:t>
            </w:r>
            <w:proofErr w:type="spellEnd"/>
            <w:r w:rsidRPr="00721CE5">
              <w:t xml:space="preserve">  M. </w:t>
            </w:r>
            <w:proofErr w:type="spellStart"/>
            <w:r w:rsidRPr="00721CE5">
              <w:t>Bravu</w:t>
            </w:r>
            <w:proofErr w:type="spellEnd"/>
            <w:r w:rsidRPr="00721CE5">
              <w:t>- PH6</w:t>
            </w:r>
          </w:p>
        </w:tc>
        <w:tc>
          <w:tcPr>
            <w:tcW w:w="5227" w:type="dxa"/>
          </w:tcPr>
          <w:p w:rsidR="00B230C0" w:rsidRPr="00721CE5" w:rsidRDefault="00B230C0" w:rsidP="002D4EA8">
            <w:r w:rsidRPr="00721CE5">
              <w:rPr>
                <w:lang w:val="pt-BR"/>
              </w:rPr>
              <w:t>NO</w:t>
            </w:r>
            <w:r w:rsidRPr="00721CE5">
              <w:rPr>
                <w:vertAlign w:val="subscript"/>
                <w:lang w:val="pt-BR"/>
              </w:rPr>
              <w:t xml:space="preserve">x, </w:t>
            </w:r>
            <w:r w:rsidRPr="00721CE5">
              <w:rPr>
                <w:lang w:val="pt-BR"/>
              </w:rPr>
              <w:t>SO</w:t>
            </w:r>
            <w:r w:rsidRPr="00721CE5">
              <w:rPr>
                <w:vertAlign w:val="subscript"/>
                <w:lang w:val="pt-BR"/>
              </w:rPr>
              <w:t>2</w:t>
            </w:r>
            <w:r w:rsidRPr="00721CE5">
              <w:rPr>
                <w:lang w:val="pt-BR"/>
              </w:rPr>
              <w:t>, CO, O</w:t>
            </w:r>
            <w:r w:rsidRPr="00721CE5">
              <w:rPr>
                <w:vertAlign w:val="subscript"/>
                <w:lang w:val="pt-BR"/>
              </w:rPr>
              <w:t>3</w:t>
            </w:r>
            <w:r w:rsidRPr="00721CE5">
              <w:rPr>
                <w:lang w:val="pt-BR"/>
              </w:rPr>
              <w:t xml:space="preserve">, </w:t>
            </w:r>
            <w:r w:rsidRPr="00721CE5">
              <w:t>PM</w:t>
            </w:r>
            <w:r w:rsidRPr="00721CE5">
              <w:rPr>
                <w:vertAlign w:val="subscript"/>
              </w:rPr>
              <w:t xml:space="preserve">10  gravimetric </w:t>
            </w:r>
            <w:proofErr w:type="spellStart"/>
            <w:r w:rsidRPr="00721CE5">
              <w:rPr>
                <w:vertAlign w:val="subscript"/>
              </w:rPr>
              <w:t>si</w:t>
            </w:r>
            <w:proofErr w:type="spellEnd"/>
            <w:r w:rsidRPr="00721CE5">
              <w:rPr>
                <w:vertAlign w:val="subscript"/>
              </w:rPr>
              <w:t xml:space="preserve"> </w:t>
            </w:r>
            <w:proofErr w:type="spellStart"/>
            <w:r w:rsidRPr="00721CE5">
              <w:rPr>
                <w:vertAlign w:val="subscript"/>
              </w:rPr>
              <w:t>nefelometric</w:t>
            </w:r>
            <w:proofErr w:type="spellEnd"/>
            <w:r w:rsidRPr="00721CE5">
              <w:t>,</w:t>
            </w:r>
          </w:p>
          <w:p w:rsidR="00B230C0" w:rsidRPr="00721CE5" w:rsidRDefault="00B230C0" w:rsidP="002D4EA8">
            <w:pPr>
              <w:rPr>
                <w:lang w:val="pt-BR"/>
              </w:rPr>
            </w:pPr>
            <w:r w:rsidRPr="00721CE5">
              <w:t>COV</w:t>
            </w:r>
            <w:r w:rsidRPr="00721CE5">
              <w:rPr>
                <w:lang w:val="pt-BR"/>
              </w:rPr>
              <w:t>, parametrii meteo</w:t>
            </w:r>
          </w:p>
        </w:tc>
      </w:tr>
      <w:tr w:rsidR="000C066D" w:rsidRPr="00721CE5" w:rsidTr="004F4425">
        <w:trPr>
          <w:jc w:val="center"/>
        </w:trPr>
        <w:tc>
          <w:tcPr>
            <w:tcW w:w="574" w:type="dxa"/>
          </w:tcPr>
          <w:p w:rsidR="00B230C0" w:rsidRPr="00721CE5" w:rsidRDefault="00B230C0" w:rsidP="002D4EA8">
            <w:r w:rsidRPr="00721CE5">
              <w:t>5</w:t>
            </w:r>
          </w:p>
        </w:tc>
        <w:tc>
          <w:tcPr>
            <w:tcW w:w="1490" w:type="dxa"/>
          </w:tcPr>
          <w:p w:rsidR="00B230C0" w:rsidRPr="00721CE5" w:rsidRDefault="00B230C0" w:rsidP="002D4EA8">
            <w:r w:rsidRPr="00721CE5">
              <w:t>Industrial</w:t>
            </w:r>
          </w:p>
        </w:tc>
        <w:tc>
          <w:tcPr>
            <w:tcW w:w="2490" w:type="dxa"/>
          </w:tcPr>
          <w:p w:rsidR="00B230C0" w:rsidRPr="00721CE5" w:rsidRDefault="00B230C0" w:rsidP="002D4EA8">
            <w:proofErr w:type="spellStart"/>
            <w:r w:rsidRPr="00721CE5">
              <w:t>Primăria</w:t>
            </w:r>
            <w:proofErr w:type="spellEnd"/>
            <w:r w:rsidRPr="00721CE5">
              <w:t xml:space="preserve"> Brazi-PH4</w:t>
            </w:r>
          </w:p>
        </w:tc>
        <w:tc>
          <w:tcPr>
            <w:tcW w:w="5227" w:type="dxa"/>
          </w:tcPr>
          <w:p w:rsidR="00B230C0" w:rsidRPr="00721CE5" w:rsidRDefault="00B230C0" w:rsidP="002D4EA8">
            <w:pPr>
              <w:rPr>
                <w:lang w:val="pt-BR"/>
              </w:rPr>
            </w:pPr>
            <w:r w:rsidRPr="00721CE5">
              <w:rPr>
                <w:lang w:val="pt-BR"/>
              </w:rPr>
              <w:t>NO</w:t>
            </w:r>
            <w:r w:rsidRPr="00721CE5">
              <w:rPr>
                <w:vertAlign w:val="subscript"/>
                <w:lang w:val="pt-BR"/>
              </w:rPr>
              <w:t xml:space="preserve">x, </w:t>
            </w:r>
            <w:r w:rsidRPr="00721CE5">
              <w:rPr>
                <w:lang w:val="pt-BR"/>
              </w:rPr>
              <w:t>SO</w:t>
            </w:r>
            <w:r w:rsidRPr="00721CE5">
              <w:rPr>
                <w:vertAlign w:val="subscript"/>
                <w:lang w:val="pt-BR"/>
              </w:rPr>
              <w:t>2</w:t>
            </w:r>
            <w:r w:rsidRPr="00721CE5">
              <w:rPr>
                <w:lang w:val="pt-BR"/>
              </w:rPr>
              <w:t>, CO, O</w:t>
            </w:r>
            <w:r w:rsidRPr="00721CE5">
              <w:rPr>
                <w:vertAlign w:val="subscript"/>
                <w:lang w:val="pt-BR"/>
              </w:rPr>
              <w:t>3</w:t>
            </w:r>
            <w:r w:rsidRPr="00721CE5">
              <w:rPr>
                <w:lang w:val="pt-BR"/>
              </w:rPr>
              <w:t>, PM</w:t>
            </w:r>
            <w:r w:rsidRPr="00721CE5">
              <w:rPr>
                <w:vertAlign w:val="subscript"/>
                <w:lang w:val="pt-BR"/>
              </w:rPr>
              <w:t>10 nefelometric</w:t>
            </w:r>
            <w:r w:rsidRPr="00721CE5">
              <w:rPr>
                <w:lang w:val="pt-BR"/>
              </w:rPr>
              <w:t>, COV,</w:t>
            </w:r>
          </w:p>
          <w:p w:rsidR="00B230C0" w:rsidRPr="00721CE5" w:rsidRDefault="00B230C0" w:rsidP="002D4EA8">
            <w:pPr>
              <w:rPr>
                <w:lang w:val="pt-BR"/>
              </w:rPr>
            </w:pPr>
            <w:r w:rsidRPr="00721CE5">
              <w:rPr>
                <w:lang w:val="pt-BR"/>
              </w:rPr>
              <w:t>parametrii meteo</w:t>
            </w:r>
          </w:p>
        </w:tc>
      </w:tr>
      <w:tr w:rsidR="000C066D" w:rsidRPr="00721CE5" w:rsidTr="004F4425">
        <w:trPr>
          <w:jc w:val="center"/>
        </w:trPr>
        <w:tc>
          <w:tcPr>
            <w:tcW w:w="574" w:type="dxa"/>
          </w:tcPr>
          <w:p w:rsidR="00B230C0" w:rsidRPr="00721CE5" w:rsidRDefault="00B230C0" w:rsidP="002D4EA8">
            <w:r w:rsidRPr="00721CE5">
              <w:t>6</w:t>
            </w:r>
          </w:p>
        </w:tc>
        <w:tc>
          <w:tcPr>
            <w:tcW w:w="1490" w:type="dxa"/>
          </w:tcPr>
          <w:p w:rsidR="00B230C0" w:rsidRPr="00721CE5" w:rsidRDefault="00B230C0" w:rsidP="002D4EA8">
            <w:r w:rsidRPr="00721CE5">
              <w:t>Fond suburban</w:t>
            </w:r>
          </w:p>
        </w:tc>
        <w:tc>
          <w:tcPr>
            <w:tcW w:w="2490" w:type="dxa"/>
          </w:tcPr>
          <w:p w:rsidR="00B230C0" w:rsidRPr="00721CE5" w:rsidRDefault="00B230C0" w:rsidP="002D4EA8">
            <w:proofErr w:type="spellStart"/>
            <w:r w:rsidRPr="00721CE5">
              <w:t>Primăria</w:t>
            </w:r>
            <w:proofErr w:type="spellEnd"/>
            <w:r w:rsidRPr="00721CE5">
              <w:t xml:space="preserve"> Blejoi-PH3</w:t>
            </w:r>
          </w:p>
        </w:tc>
        <w:tc>
          <w:tcPr>
            <w:tcW w:w="5227" w:type="dxa"/>
          </w:tcPr>
          <w:p w:rsidR="00B230C0" w:rsidRPr="00721CE5" w:rsidRDefault="00B230C0" w:rsidP="002D4EA8">
            <w:pPr>
              <w:rPr>
                <w:lang w:val="pt-BR"/>
              </w:rPr>
            </w:pPr>
            <w:r w:rsidRPr="00721CE5">
              <w:rPr>
                <w:lang w:val="pt-BR"/>
              </w:rPr>
              <w:t>NO</w:t>
            </w:r>
            <w:r w:rsidRPr="00721CE5">
              <w:rPr>
                <w:vertAlign w:val="subscript"/>
                <w:lang w:val="pt-BR"/>
              </w:rPr>
              <w:t xml:space="preserve">x, </w:t>
            </w:r>
            <w:r w:rsidRPr="00721CE5">
              <w:rPr>
                <w:lang w:val="pt-BR"/>
              </w:rPr>
              <w:t>SO</w:t>
            </w:r>
            <w:r w:rsidRPr="00721CE5">
              <w:rPr>
                <w:vertAlign w:val="subscript"/>
                <w:lang w:val="pt-BR"/>
              </w:rPr>
              <w:t>2</w:t>
            </w:r>
            <w:r w:rsidRPr="00721CE5">
              <w:rPr>
                <w:lang w:val="pt-BR"/>
              </w:rPr>
              <w:t>, CO, O</w:t>
            </w:r>
            <w:r w:rsidRPr="00721CE5">
              <w:rPr>
                <w:vertAlign w:val="subscript"/>
                <w:lang w:val="pt-BR"/>
              </w:rPr>
              <w:t>3</w:t>
            </w:r>
            <w:r w:rsidRPr="00721CE5">
              <w:rPr>
                <w:lang w:val="pt-BR"/>
              </w:rPr>
              <w:t>, PM</w:t>
            </w:r>
            <w:r w:rsidRPr="00721CE5">
              <w:rPr>
                <w:vertAlign w:val="subscript"/>
                <w:lang w:val="pt-BR"/>
              </w:rPr>
              <w:t>10</w:t>
            </w:r>
            <w:r w:rsidRPr="00721CE5">
              <w:rPr>
                <w:lang w:val="pt-BR"/>
              </w:rPr>
              <w:t>, COV, metale grele:</w:t>
            </w:r>
          </w:p>
          <w:p w:rsidR="00B230C0" w:rsidRPr="00721CE5" w:rsidRDefault="00B230C0" w:rsidP="002D4EA8">
            <w:pPr>
              <w:rPr>
                <w:lang w:val="pt-BR"/>
              </w:rPr>
            </w:pPr>
            <w:r w:rsidRPr="00721CE5">
              <w:rPr>
                <w:lang w:val="pt-BR"/>
              </w:rPr>
              <w:t>Pb, Cd, Ni, As , parametrii meteo</w:t>
            </w:r>
          </w:p>
        </w:tc>
      </w:tr>
      <w:tr w:rsidR="000C066D" w:rsidRPr="00721CE5" w:rsidTr="004F4425">
        <w:trPr>
          <w:jc w:val="center"/>
        </w:trPr>
        <w:tc>
          <w:tcPr>
            <w:tcW w:w="574" w:type="dxa"/>
          </w:tcPr>
          <w:p w:rsidR="00B230C0" w:rsidRPr="00721CE5" w:rsidRDefault="00B230C0" w:rsidP="002D4EA8">
            <w:r w:rsidRPr="00721CE5">
              <w:t>7</w:t>
            </w:r>
          </w:p>
        </w:tc>
        <w:tc>
          <w:tcPr>
            <w:tcW w:w="1490" w:type="dxa"/>
          </w:tcPr>
          <w:p w:rsidR="00B230C0" w:rsidRPr="00721CE5" w:rsidRDefault="00B230C0" w:rsidP="002D4EA8">
            <w:r w:rsidRPr="00721CE5">
              <w:t>Fond urban</w:t>
            </w:r>
          </w:p>
        </w:tc>
        <w:tc>
          <w:tcPr>
            <w:tcW w:w="2490" w:type="dxa"/>
          </w:tcPr>
          <w:p w:rsidR="00B230C0" w:rsidRPr="00721CE5" w:rsidRDefault="00B230C0" w:rsidP="002D4EA8">
            <w:r w:rsidRPr="00721CE5">
              <w:t>Campina</w:t>
            </w:r>
          </w:p>
        </w:tc>
        <w:tc>
          <w:tcPr>
            <w:tcW w:w="5227" w:type="dxa"/>
          </w:tcPr>
          <w:p w:rsidR="00B230C0" w:rsidRPr="00721CE5" w:rsidRDefault="00B230C0" w:rsidP="002D4EA8">
            <w:pPr>
              <w:rPr>
                <w:lang w:val="pt-BR"/>
              </w:rPr>
            </w:pPr>
            <w:r w:rsidRPr="00721CE5">
              <w:rPr>
                <w:lang w:val="pt-BR"/>
              </w:rPr>
              <w:t>PM10</w:t>
            </w:r>
            <w:r w:rsidRPr="00721CE5">
              <w:rPr>
                <w:vertAlign w:val="subscript"/>
                <w:lang w:val="pt-BR"/>
              </w:rPr>
              <w:t>gravimetric</w:t>
            </w:r>
            <w:r w:rsidRPr="00721CE5">
              <w:rPr>
                <w:lang w:val="pt-BR"/>
              </w:rPr>
              <w:t>, PM</w:t>
            </w:r>
            <w:r w:rsidRPr="00721CE5">
              <w:rPr>
                <w:vertAlign w:val="subscript"/>
                <w:lang w:val="pt-BR"/>
              </w:rPr>
              <w:t>2,5gravimetric</w:t>
            </w:r>
            <w:r w:rsidRPr="00721CE5">
              <w:rPr>
                <w:lang w:val="pt-BR"/>
              </w:rPr>
              <w:t>, COV,</w:t>
            </w:r>
          </w:p>
          <w:p w:rsidR="00B230C0" w:rsidRPr="00721CE5" w:rsidRDefault="00B230C0" w:rsidP="002D4EA8">
            <w:pPr>
              <w:rPr>
                <w:lang w:val="pt-BR"/>
              </w:rPr>
            </w:pPr>
            <w:r w:rsidRPr="00721CE5">
              <w:rPr>
                <w:lang w:val="pt-BR"/>
              </w:rPr>
              <w:t>parametrii meteo</w:t>
            </w:r>
          </w:p>
        </w:tc>
      </w:tr>
    </w:tbl>
    <w:p w:rsidR="00B230C0" w:rsidRPr="00721CE5" w:rsidRDefault="00B230C0" w:rsidP="002D4EA8">
      <w:pPr>
        <w:pStyle w:val="BodyTextIndent"/>
        <w:spacing w:after="0"/>
        <w:ind w:left="0"/>
        <w:rPr>
          <w:lang w:val="pt-BR"/>
        </w:rPr>
      </w:pPr>
    </w:p>
    <w:p w:rsidR="00B230C0" w:rsidRPr="00721CE5" w:rsidRDefault="00B230C0" w:rsidP="007E7A30">
      <w:pPr>
        <w:pStyle w:val="BodyTextIndent"/>
        <w:spacing w:after="0"/>
        <w:ind w:left="284" w:right="-81" w:firstLine="720"/>
        <w:jc w:val="both"/>
        <w:rPr>
          <w:lang w:val="pt-BR"/>
        </w:rPr>
      </w:pPr>
      <w:r w:rsidRPr="00721CE5">
        <w:rPr>
          <w:lang w:val="pt-BR"/>
        </w:rPr>
        <w:lastRenderedPageBreak/>
        <w:t>Poluanţii monitorizaţi, metodele de măsurare, valorile limită sunt stabilite de legislaţia naţională privind protecţia atmosferei şi sunt conforme cerinţelor Legii 104/2011.</w:t>
      </w:r>
    </w:p>
    <w:p w:rsidR="00B230C0" w:rsidRPr="00721CE5" w:rsidRDefault="00B230C0" w:rsidP="007E7A30">
      <w:pPr>
        <w:ind w:left="284" w:right="-81" w:firstLine="720"/>
        <w:jc w:val="both"/>
        <w:rPr>
          <w:lang w:val="it-IT"/>
        </w:rPr>
      </w:pPr>
      <w:r w:rsidRPr="00721CE5">
        <w:rPr>
          <w:lang w:val="it-IT"/>
        </w:rPr>
        <w:t xml:space="preserve">Calitatea aerului în fiecare staţie este reprezentată prin indici de calitate specifici, stabiliţi pe baza valorilor concentraţiilor poluanţilor atmosferici măsuraţi. </w:t>
      </w:r>
    </w:p>
    <w:p w:rsidR="00B230C0" w:rsidRPr="00721CE5" w:rsidRDefault="00B230C0" w:rsidP="007E7A30">
      <w:pPr>
        <w:ind w:left="284" w:right="-81" w:firstLine="720"/>
        <w:jc w:val="both"/>
        <w:rPr>
          <w:lang w:val="ro-RO"/>
        </w:rPr>
      </w:pPr>
      <w:r w:rsidRPr="00721CE5">
        <w:rPr>
          <w:lang w:val="ro-RO"/>
        </w:rPr>
        <w:t>În anul  2023, ca urmare a monitorizării calităţii aerului ambiental, variaţia indicatorilor monitorizaţi este următoarea:</w:t>
      </w:r>
    </w:p>
    <w:p w:rsidR="00B230C0" w:rsidRPr="00721CE5" w:rsidRDefault="007E7A30" w:rsidP="007E7A30">
      <w:pPr>
        <w:ind w:right="-81"/>
        <w:jc w:val="both"/>
        <w:rPr>
          <w:lang w:val="ro-RO"/>
        </w:rPr>
      </w:pPr>
      <w:r>
        <w:rPr>
          <w:lang w:val="ro-RO"/>
        </w:rPr>
        <w:t>-</w:t>
      </w:r>
      <w:r w:rsidR="00B230C0" w:rsidRPr="00721CE5">
        <w:rPr>
          <w:lang w:val="ro-RO"/>
        </w:rPr>
        <w:t>pentru ozon nu s-au înregistrat depăşiri ale pragurilor de alerta (240 µg/mc) și nici ale pragului de informare (180 µg/mc).</w:t>
      </w:r>
    </w:p>
    <w:p w:rsidR="00B230C0" w:rsidRPr="00721CE5" w:rsidRDefault="007E7A30" w:rsidP="007E7A30">
      <w:pPr>
        <w:ind w:right="9"/>
        <w:jc w:val="both"/>
        <w:rPr>
          <w:lang w:val="ro-RO"/>
        </w:rPr>
      </w:pPr>
      <w:r>
        <w:rPr>
          <w:lang w:val="ro-RO"/>
        </w:rPr>
        <w:t>-</w:t>
      </w:r>
      <w:r w:rsidR="00B230C0" w:rsidRPr="00721CE5">
        <w:rPr>
          <w:lang w:val="ro-RO"/>
        </w:rPr>
        <w:t>pentru dioxid de azot nu s-au înregistrat depăşiri ale pragurilor de alertă (400 µg/mc), dar au fost înregistrate 3 depăşiri ale valorii limită orare de 200 µg/mc, astfel: în stația PH1 (1 depășire) și stația PH6 (2 depășiri).</w:t>
      </w:r>
    </w:p>
    <w:p w:rsidR="00B230C0" w:rsidRPr="00721CE5" w:rsidRDefault="007E7A30" w:rsidP="007E7A30">
      <w:pPr>
        <w:ind w:right="9"/>
        <w:jc w:val="both"/>
        <w:rPr>
          <w:lang w:val="ro-RO"/>
        </w:rPr>
      </w:pPr>
      <w:r>
        <w:rPr>
          <w:lang w:val="ro-RO"/>
        </w:rPr>
        <w:t>-</w:t>
      </w:r>
      <w:r w:rsidR="00B230C0" w:rsidRPr="00721CE5">
        <w:rPr>
          <w:lang w:val="ro-RO"/>
        </w:rPr>
        <w:t>pentru dioxid de sulf nu s-au înregistrat depăşiri ale pragului de alertă (500 µg/mc) și nici ale valorii limită orară (350 µg/mc).</w:t>
      </w:r>
    </w:p>
    <w:p w:rsidR="00B230C0" w:rsidRPr="00721CE5" w:rsidRDefault="007E7A30" w:rsidP="007E7A30">
      <w:pPr>
        <w:ind w:right="9" w:hanging="76"/>
        <w:jc w:val="both"/>
        <w:rPr>
          <w:lang w:val="ro-RO"/>
        </w:rPr>
      </w:pPr>
      <w:r>
        <w:rPr>
          <w:noProof/>
          <w:lang w:val="en-GB" w:eastAsia="en-GB"/>
        </w:rPr>
        <w:t xml:space="preserve">- </w:t>
      </w:r>
      <w:proofErr w:type="gramStart"/>
      <w:r w:rsidR="00B230C0" w:rsidRPr="00721CE5">
        <w:rPr>
          <w:lang w:val="ro-RO"/>
        </w:rPr>
        <w:t>pentru</w:t>
      </w:r>
      <w:proofErr w:type="gramEnd"/>
      <w:r w:rsidR="00B230C0" w:rsidRPr="00721CE5">
        <w:rPr>
          <w:lang w:val="ro-RO"/>
        </w:rPr>
        <w:t xml:space="preserve"> monoxidul de carbon nu au fost înregistrate depăşiri ale valorii limite zilnice pentru sănătate (10 mg/mc).</w:t>
      </w:r>
    </w:p>
    <w:p w:rsidR="00B230C0" w:rsidRPr="00721CE5" w:rsidRDefault="007E7A30" w:rsidP="007E7A30">
      <w:pPr>
        <w:ind w:right="9" w:hanging="76"/>
        <w:jc w:val="both"/>
        <w:rPr>
          <w:lang w:val="ro-RO"/>
        </w:rPr>
      </w:pPr>
      <w:r>
        <w:t xml:space="preserve"> </w:t>
      </w:r>
      <w:r>
        <w:rPr>
          <w:lang w:val="ro-RO"/>
        </w:rPr>
        <w:t>-</w:t>
      </w:r>
      <w:r w:rsidR="00B230C0" w:rsidRPr="00721CE5">
        <w:rPr>
          <w:lang w:val="ro-RO"/>
        </w:rPr>
        <w:t xml:space="preserve">pentru indicatorul PM10, prin metoda gravimetrică  în perioada 01.01.2023-31.10.2023 s-au înregistrat depășiri conform tabelului de mai jos, dar fără a se depăşi numărul de 35/stație într-un an calendaristic în conformitate cu Legea 104/2011.  </w:t>
      </w:r>
    </w:p>
    <w:p w:rsidR="00B230C0" w:rsidRPr="00721CE5" w:rsidRDefault="00B230C0" w:rsidP="00813468">
      <w:pPr>
        <w:ind w:left="284" w:right="9"/>
        <w:jc w:val="both"/>
        <w:rPr>
          <w:lang w:val="ro-RO"/>
        </w:rPr>
      </w:pPr>
    </w:p>
    <w:p w:rsidR="00B230C0" w:rsidRPr="00721CE5" w:rsidRDefault="00B230C0" w:rsidP="00813468">
      <w:pPr>
        <w:ind w:left="284" w:right="9"/>
        <w:jc w:val="cente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056"/>
        <w:gridCol w:w="1269"/>
        <w:gridCol w:w="1410"/>
        <w:gridCol w:w="1842"/>
      </w:tblGrid>
      <w:tr w:rsidR="00B230C0" w:rsidRPr="00721CE5" w:rsidTr="00DA38A8">
        <w:trPr>
          <w:tblHeader/>
          <w:jc w:val="center"/>
        </w:trPr>
        <w:tc>
          <w:tcPr>
            <w:tcW w:w="2113" w:type="dxa"/>
          </w:tcPr>
          <w:p w:rsidR="00B230C0" w:rsidRPr="00721CE5" w:rsidRDefault="00B230C0" w:rsidP="00813468">
            <w:pPr>
              <w:ind w:left="284" w:right="9"/>
              <w:jc w:val="center"/>
              <w:rPr>
                <w:lang w:val="ro-RO"/>
              </w:rPr>
            </w:pPr>
            <w:r w:rsidRPr="00721CE5">
              <w:rPr>
                <w:lang w:val="ro-RO"/>
              </w:rPr>
              <w:t>An 2023</w:t>
            </w:r>
          </w:p>
        </w:tc>
        <w:tc>
          <w:tcPr>
            <w:tcW w:w="945" w:type="dxa"/>
          </w:tcPr>
          <w:p w:rsidR="00B230C0" w:rsidRPr="00721CE5" w:rsidRDefault="00B230C0" w:rsidP="00813468">
            <w:pPr>
              <w:ind w:left="284" w:right="9"/>
              <w:jc w:val="both"/>
              <w:rPr>
                <w:lang w:val="ro-RO"/>
              </w:rPr>
            </w:pPr>
            <w:r w:rsidRPr="00721CE5">
              <w:rPr>
                <w:lang w:val="ro-RO"/>
              </w:rPr>
              <w:t>Staţie</w:t>
            </w:r>
          </w:p>
        </w:tc>
        <w:tc>
          <w:tcPr>
            <w:tcW w:w="1202" w:type="dxa"/>
          </w:tcPr>
          <w:p w:rsidR="00B230C0" w:rsidRPr="00721CE5" w:rsidRDefault="00B230C0" w:rsidP="00813468">
            <w:pPr>
              <w:ind w:left="284" w:right="9"/>
              <w:jc w:val="both"/>
              <w:rPr>
                <w:lang w:val="ro-RO"/>
              </w:rPr>
            </w:pPr>
            <w:r w:rsidRPr="00721CE5">
              <w:rPr>
                <w:lang w:val="ro-RO"/>
              </w:rPr>
              <w:t>Nr depăşiri</w:t>
            </w:r>
          </w:p>
        </w:tc>
        <w:tc>
          <w:tcPr>
            <w:tcW w:w="1410" w:type="dxa"/>
          </w:tcPr>
          <w:p w:rsidR="00B230C0" w:rsidRPr="00721CE5" w:rsidRDefault="00B230C0" w:rsidP="00813468">
            <w:pPr>
              <w:ind w:left="284" w:right="9"/>
              <w:jc w:val="both"/>
              <w:rPr>
                <w:lang w:val="ro-RO"/>
              </w:rPr>
            </w:pPr>
            <w:r w:rsidRPr="00721CE5">
              <w:rPr>
                <w:lang w:val="ro-RO"/>
              </w:rPr>
              <w:t>Tip depăşire</w:t>
            </w:r>
          </w:p>
        </w:tc>
        <w:tc>
          <w:tcPr>
            <w:tcW w:w="1740" w:type="dxa"/>
          </w:tcPr>
          <w:p w:rsidR="00B230C0" w:rsidRPr="00721CE5" w:rsidRDefault="00B230C0" w:rsidP="00813468">
            <w:pPr>
              <w:ind w:left="284" w:right="9"/>
              <w:jc w:val="both"/>
              <w:rPr>
                <w:lang w:val="ro-RO"/>
              </w:rPr>
            </w:pPr>
            <w:r w:rsidRPr="00721CE5">
              <w:rPr>
                <w:lang w:val="ro-RO"/>
              </w:rPr>
              <w:t xml:space="preserve">Nr maxim de </w:t>
            </w:r>
          </w:p>
          <w:p w:rsidR="00B230C0" w:rsidRPr="00721CE5" w:rsidRDefault="00B230C0" w:rsidP="00813468">
            <w:pPr>
              <w:ind w:left="284" w:right="9"/>
              <w:jc w:val="both"/>
              <w:rPr>
                <w:lang w:val="ro-RO"/>
              </w:rPr>
            </w:pPr>
            <w:r w:rsidRPr="00721CE5">
              <w:rPr>
                <w:lang w:val="ro-RO"/>
              </w:rPr>
              <w:t>depăşiri/stație</w:t>
            </w:r>
          </w:p>
        </w:tc>
      </w:tr>
      <w:tr w:rsidR="00B230C0" w:rsidRPr="00721CE5" w:rsidTr="00DA38A8">
        <w:trPr>
          <w:jc w:val="center"/>
        </w:trPr>
        <w:tc>
          <w:tcPr>
            <w:tcW w:w="2113" w:type="dxa"/>
            <w:vMerge w:val="restart"/>
          </w:tcPr>
          <w:p w:rsidR="00B230C0" w:rsidRPr="00721CE5" w:rsidRDefault="00B230C0" w:rsidP="00813468">
            <w:pPr>
              <w:ind w:left="284" w:right="9"/>
              <w:jc w:val="both"/>
              <w:rPr>
                <w:lang w:val="ro-RO"/>
              </w:rPr>
            </w:pPr>
          </w:p>
          <w:p w:rsidR="00B230C0" w:rsidRPr="00721CE5" w:rsidRDefault="00B230C0" w:rsidP="00813468">
            <w:pPr>
              <w:ind w:left="284" w:right="9"/>
              <w:jc w:val="both"/>
              <w:rPr>
                <w:lang w:val="ro-RO"/>
              </w:rPr>
            </w:pPr>
          </w:p>
          <w:p w:rsidR="00B230C0" w:rsidRPr="00721CE5" w:rsidRDefault="00B230C0" w:rsidP="00813468">
            <w:pPr>
              <w:ind w:left="284" w:right="9"/>
              <w:jc w:val="both"/>
              <w:rPr>
                <w:lang w:val="ro-RO"/>
              </w:rPr>
            </w:pPr>
            <w:r w:rsidRPr="00721CE5">
              <w:rPr>
                <w:lang w:val="ro-RO"/>
              </w:rPr>
              <w:t>PM10 - gravimetric</w:t>
            </w:r>
          </w:p>
        </w:tc>
        <w:tc>
          <w:tcPr>
            <w:tcW w:w="945" w:type="dxa"/>
          </w:tcPr>
          <w:p w:rsidR="00B230C0" w:rsidRPr="00721CE5" w:rsidRDefault="00B230C0" w:rsidP="00813468">
            <w:pPr>
              <w:ind w:left="284" w:right="9"/>
              <w:jc w:val="both"/>
              <w:rPr>
                <w:lang w:val="ro-RO"/>
              </w:rPr>
            </w:pPr>
            <w:r w:rsidRPr="00721CE5">
              <w:rPr>
                <w:lang w:val="ro-RO"/>
              </w:rPr>
              <w:t>PH1</w:t>
            </w:r>
          </w:p>
        </w:tc>
        <w:tc>
          <w:tcPr>
            <w:tcW w:w="1202" w:type="dxa"/>
          </w:tcPr>
          <w:p w:rsidR="00B230C0" w:rsidRPr="00721CE5" w:rsidRDefault="00B230C0" w:rsidP="00813468">
            <w:pPr>
              <w:ind w:left="284" w:right="9"/>
              <w:jc w:val="center"/>
              <w:rPr>
                <w:lang w:val="ro-RO"/>
              </w:rPr>
            </w:pPr>
            <w:r w:rsidRPr="00721CE5">
              <w:rPr>
                <w:lang w:val="ro-RO"/>
              </w:rPr>
              <w:t>5</w:t>
            </w:r>
          </w:p>
        </w:tc>
        <w:tc>
          <w:tcPr>
            <w:tcW w:w="1410" w:type="dxa"/>
            <w:vMerge w:val="restart"/>
          </w:tcPr>
          <w:p w:rsidR="00B230C0" w:rsidRPr="00721CE5" w:rsidRDefault="00B230C0" w:rsidP="00813468">
            <w:pPr>
              <w:ind w:left="284" w:right="9"/>
              <w:jc w:val="center"/>
              <w:rPr>
                <w:lang w:val="ro-RO"/>
              </w:rPr>
            </w:pPr>
          </w:p>
          <w:p w:rsidR="00B230C0" w:rsidRPr="00721CE5" w:rsidRDefault="00B230C0" w:rsidP="00813468">
            <w:pPr>
              <w:ind w:left="284" w:right="9"/>
              <w:jc w:val="center"/>
              <w:rPr>
                <w:lang w:val="ro-RO"/>
              </w:rPr>
            </w:pPr>
          </w:p>
          <w:p w:rsidR="00B230C0" w:rsidRPr="00721CE5" w:rsidRDefault="00B230C0" w:rsidP="00813468">
            <w:pPr>
              <w:ind w:left="284" w:right="9"/>
              <w:jc w:val="center"/>
              <w:rPr>
                <w:lang w:val="ro-RO"/>
              </w:rPr>
            </w:pPr>
            <w:r w:rsidRPr="00721CE5">
              <w:rPr>
                <w:lang w:val="ro-RO"/>
              </w:rPr>
              <w:t>zilnică</w:t>
            </w:r>
          </w:p>
        </w:tc>
        <w:tc>
          <w:tcPr>
            <w:tcW w:w="1740" w:type="dxa"/>
            <w:vMerge w:val="restart"/>
          </w:tcPr>
          <w:p w:rsidR="00B230C0" w:rsidRPr="00721CE5" w:rsidRDefault="00B230C0" w:rsidP="00813468">
            <w:pPr>
              <w:ind w:left="284" w:right="9"/>
              <w:jc w:val="center"/>
              <w:rPr>
                <w:lang w:val="ro-RO"/>
              </w:rPr>
            </w:pPr>
          </w:p>
          <w:p w:rsidR="00B230C0" w:rsidRPr="00721CE5" w:rsidRDefault="00B230C0" w:rsidP="00813468">
            <w:pPr>
              <w:ind w:left="284" w:right="9"/>
              <w:jc w:val="center"/>
              <w:rPr>
                <w:lang w:val="ro-RO"/>
              </w:rPr>
            </w:pPr>
          </w:p>
          <w:p w:rsidR="00B230C0" w:rsidRPr="00721CE5" w:rsidRDefault="00B230C0" w:rsidP="00813468">
            <w:pPr>
              <w:ind w:left="284" w:right="9"/>
              <w:jc w:val="center"/>
              <w:rPr>
                <w:lang w:val="ro-RO"/>
              </w:rPr>
            </w:pPr>
            <w:r w:rsidRPr="00721CE5">
              <w:rPr>
                <w:lang w:val="ro-RO"/>
              </w:rPr>
              <w:t>35</w:t>
            </w:r>
          </w:p>
        </w:tc>
      </w:tr>
      <w:tr w:rsidR="00B230C0" w:rsidRPr="00721CE5" w:rsidTr="00DA38A8">
        <w:trPr>
          <w:jc w:val="center"/>
        </w:trPr>
        <w:tc>
          <w:tcPr>
            <w:tcW w:w="2113" w:type="dxa"/>
            <w:vMerge/>
          </w:tcPr>
          <w:p w:rsidR="00B230C0" w:rsidRPr="00721CE5" w:rsidRDefault="00B230C0" w:rsidP="00813468">
            <w:pPr>
              <w:ind w:left="284" w:right="9"/>
              <w:jc w:val="both"/>
              <w:rPr>
                <w:lang w:val="ro-RO"/>
              </w:rPr>
            </w:pPr>
          </w:p>
        </w:tc>
        <w:tc>
          <w:tcPr>
            <w:tcW w:w="945" w:type="dxa"/>
          </w:tcPr>
          <w:p w:rsidR="00B230C0" w:rsidRPr="00721CE5" w:rsidRDefault="00B230C0" w:rsidP="00813468">
            <w:pPr>
              <w:ind w:left="284" w:right="9"/>
              <w:jc w:val="both"/>
              <w:rPr>
                <w:lang w:val="ro-RO"/>
              </w:rPr>
            </w:pPr>
            <w:r w:rsidRPr="00721CE5">
              <w:rPr>
                <w:lang w:val="ro-RO"/>
              </w:rPr>
              <w:t>PH2</w:t>
            </w:r>
          </w:p>
        </w:tc>
        <w:tc>
          <w:tcPr>
            <w:tcW w:w="1202" w:type="dxa"/>
          </w:tcPr>
          <w:p w:rsidR="00B230C0" w:rsidRPr="00721CE5" w:rsidRDefault="00B230C0" w:rsidP="00813468">
            <w:pPr>
              <w:ind w:left="284" w:right="9"/>
              <w:jc w:val="center"/>
              <w:rPr>
                <w:lang w:val="ro-RO"/>
              </w:rPr>
            </w:pPr>
            <w:r w:rsidRPr="00721CE5">
              <w:rPr>
                <w:lang w:val="ro-RO"/>
              </w:rPr>
              <w:t>2</w:t>
            </w:r>
          </w:p>
        </w:tc>
        <w:tc>
          <w:tcPr>
            <w:tcW w:w="1410" w:type="dxa"/>
            <w:vMerge/>
          </w:tcPr>
          <w:p w:rsidR="00B230C0" w:rsidRPr="00721CE5" w:rsidRDefault="00B230C0" w:rsidP="00813468">
            <w:pPr>
              <w:ind w:left="284" w:right="9"/>
              <w:jc w:val="both"/>
              <w:rPr>
                <w:lang w:val="ro-RO"/>
              </w:rPr>
            </w:pPr>
          </w:p>
        </w:tc>
        <w:tc>
          <w:tcPr>
            <w:tcW w:w="1740" w:type="dxa"/>
            <w:vMerge/>
          </w:tcPr>
          <w:p w:rsidR="00B230C0" w:rsidRPr="00721CE5" w:rsidRDefault="00B230C0" w:rsidP="00813468">
            <w:pPr>
              <w:ind w:left="284" w:right="9"/>
              <w:jc w:val="both"/>
              <w:rPr>
                <w:lang w:val="ro-RO"/>
              </w:rPr>
            </w:pPr>
          </w:p>
        </w:tc>
      </w:tr>
      <w:tr w:rsidR="00B230C0" w:rsidRPr="00721CE5" w:rsidTr="00DA38A8">
        <w:trPr>
          <w:jc w:val="center"/>
        </w:trPr>
        <w:tc>
          <w:tcPr>
            <w:tcW w:w="2113" w:type="dxa"/>
            <w:vMerge/>
          </w:tcPr>
          <w:p w:rsidR="00B230C0" w:rsidRPr="00721CE5" w:rsidRDefault="00B230C0" w:rsidP="00813468">
            <w:pPr>
              <w:ind w:left="284" w:right="9"/>
              <w:jc w:val="both"/>
              <w:rPr>
                <w:lang w:val="ro-RO"/>
              </w:rPr>
            </w:pPr>
          </w:p>
        </w:tc>
        <w:tc>
          <w:tcPr>
            <w:tcW w:w="945" w:type="dxa"/>
          </w:tcPr>
          <w:p w:rsidR="00B230C0" w:rsidRPr="00721CE5" w:rsidRDefault="00B230C0" w:rsidP="00813468">
            <w:pPr>
              <w:ind w:left="284" w:right="9"/>
              <w:jc w:val="both"/>
              <w:rPr>
                <w:lang w:val="ro-RO"/>
              </w:rPr>
            </w:pPr>
            <w:r w:rsidRPr="00721CE5">
              <w:rPr>
                <w:lang w:val="ro-RO"/>
              </w:rPr>
              <w:t>PH3</w:t>
            </w:r>
          </w:p>
        </w:tc>
        <w:tc>
          <w:tcPr>
            <w:tcW w:w="1202" w:type="dxa"/>
          </w:tcPr>
          <w:p w:rsidR="00B230C0" w:rsidRPr="00721CE5" w:rsidRDefault="00B230C0" w:rsidP="00813468">
            <w:pPr>
              <w:ind w:left="284" w:right="9"/>
              <w:jc w:val="center"/>
              <w:rPr>
                <w:lang w:val="ro-RO"/>
              </w:rPr>
            </w:pPr>
            <w:r w:rsidRPr="00721CE5">
              <w:rPr>
                <w:lang w:val="ro-RO"/>
              </w:rPr>
              <w:t>12</w:t>
            </w:r>
          </w:p>
        </w:tc>
        <w:tc>
          <w:tcPr>
            <w:tcW w:w="1410" w:type="dxa"/>
            <w:vMerge/>
          </w:tcPr>
          <w:p w:rsidR="00B230C0" w:rsidRPr="00721CE5" w:rsidRDefault="00B230C0" w:rsidP="00813468">
            <w:pPr>
              <w:ind w:left="284" w:right="9"/>
              <w:jc w:val="both"/>
              <w:rPr>
                <w:lang w:val="ro-RO"/>
              </w:rPr>
            </w:pPr>
          </w:p>
        </w:tc>
        <w:tc>
          <w:tcPr>
            <w:tcW w:w="1740" w:type="dxa"/>
            <w:vMerge/>
          </w:tcPr>
          <w:p w:rsidR="00B230C0" w:rsidRPr="00721CE5" w:rsidRDefault="00B230C0" w:rsidP="00813468">
            <w:pPr>
              <w:ind w:left="284" w:right="9"/>
              <w:jc w:val="both"/>
              <w:rPr>
                <w:lang w:val="ro-RO"/>
              </w:rPr>
            </w:pPr>
          </w:p>
        </w:tc>
      </w:tr>
      <w:tr w:rsidR="00B230C0" w:rsidRPr="00721CE5" w:rsidTr="00DA38A8">
        <w:trPr>
          <w:jc w:val="center"/>
        </w:trPr>
        <w:tc>
          <w:tcPr>
            <w:tcW w:w="2113" w:type="dxa"/>
            <w:vMerge/>
          </w:tcPr>
          <w:p w:rsidR="00B230C0" w:rsidRPr="00721CE5" w:rsidRDefault="00B230C0" w:rsidP="00813468">
            <w:pPr>
              <w:ind w:left="284" w:right="9"/>
              <w:jc w:val="both"/>
              <w:rPr>
                <w:lang w:val="ro-RO"/>
              </w:rPr>
            </w:pPr>
          </w:p>
        </w:tc>
        <w:tc>
          <w:tcPr>
            <w:tcW w:w="945" w:type="dxa"/>
          </w:tcPr>
          <w:p w:rsidR="00B230C0" w:rsidRPr="00721CE5" w:rsidRDefault="00B230C0" w:rsidP="00813468">
            <w:pPr>
              <w:ind w:left="284" w:right="9"/>
              <w:jc w:val="both"/>
              <w:rPr>
                <w:lang w:val="ro-RO"/>
              </w:rPr>
            </w:pPr>
            <w:r w:rsidRPr="00721CE5">
              <w:rPr>
                <w:lang w:val="ro-RO"/>
              </w:rPr>
              <w:t>PH5</w:t>
            </w:r>
          </w:p>
        </w:tc>
        <w:tc>
          <w:tcPr>
            <w:tcW w:w="1202" w:type="dxa"/>
          </w:tcPr>
          <w:p w:rsidR="00B230C0" w:rsidRPr="00721CE5" w:rsidRDefault="00B230C0" w:rsidP="00813468">
            <w:pPr>
              <w:ind w:left="284" w:right="9"/>
              <w:jc w:val="center"/>
              <w:rPr>
                <w:lang w:val="ro-RO"/>
              </w:rPr>
            </w:pPr>
            <w:r w:rsidRPr="00721CE5">
              <w:rPr>
                <w:lang w:val="ro-RO"/>
              </w:rPr>
              <w:t>1</w:t>
            </w:r>
          </w:p>
        </w:tc>
        <w:tc>
          <w:tcPr>
            <w:tcW w:w="1410" w:type="dxa"/>
            <w:vMerge/>
          </w:tcPr>
          <w:p w:rsidR="00B230C0" w:rsidRPr="00721CE5" w:rsidRDefault="00B230C0" w:rsidP="00813468">
            <w:pPr>
              <w:ind w:left="284" w:right="9"/>
              <w:jc w:val="both"/>
              <w:rPr>
                <w:lang w:val="ro-RO"/>
              </w:rPr>
            </w:pPr>
          </w:p>
        </w:tc>
        <w:tc>
          <w:tcPr>
            <w:tcW w:w="1740" w:type="dxa"/>
            <w:vMerge/>
          </w:tcPr>
          <w:p w:rsidR="00B230C0" w:rsidRPr="00721CE5" w:rsidRDefault="00B230C0" w:rsidP="00813468">
            <w:pPr>
              <w:ind w:left="284" w:right="9"/>
              <w:jc w:val="both"/>
              <w:rPr>
                <w:lang w:val="ro-RO"/>
              </w:rPr>
            </w:pPr>
          </w:p>
        </w:tc>
      </w:tr>
      <w:tr w:rsidR="00B230C0" w:rsidRPr="00721CE5" w:rsidTr="00DA38A8">
        <w:trPr>
          <w:jc w:val="center"/>
        </w:trPr>
        <w:tc>
          <w:tcPr>
            <w:tcW w:w="2113" w:type="dxa"/>
            <w:vMerge/>
          </w:tcPr>
          <w:p w:rsidR="00B230C0" w:rsidRPr="00721CE5" w:rsidRDefault="00B230C0" w:rsidP="00813468">
            <w:pPr>
              <w:ind w:left="284" w:right="9"/>
              <w:jc w:val="both"/>
              <w:rPr>
                <w:lang w:val="ro-RO"/>
              </w:rPr>
            </w:pPr>
          </w:p>
        </w:tc>
        <w:tc>
          <w:tcPr>
            <w:tcW w:w="945" w:type="dxa"/>
          </w:tcPr>
          <w:p w:rsidR="00B230C0" w:rsidRPr="00721CE5" w:rsidRDefault="00B230C0" w:rsidP="00813468">
            <w:pPr>
              <w:ind w:left="284" w:right="9"/>
              <w:jc w:val="both"/>
              <w:rPr>
                <w:lang w:val="ro-RO"/>
              </w:rPr>
            </w:pPr>
            <w:r w:rsidRPr="00721CE5">
              <w:rPr>
                <w:lang w:val="ro-RO"/>
              </w:rPr>
              <w:t>PH6</w:t>
            </w:r>
          </w:p>
        </w:tc>
        <w:tc>
          <w:tcPr>
            <w:tcW w:w="1202" w:type="dxa"/>
          </w:tcPr>
          <w:p w:rsidR="00B230C0" w:rsidRPr="00721CE5" w:rsidRDefault="00B230C0" w:rsidP="00813468">
            <w:pPr>
              <w:ind w:left="284" w:right="9"/>
              <w:jc w:val="center"/>
              <w:rPr>
                <w:lang w:val="ro-RO"/>
              </w:rPr>
            </w:pPr>
            <w:r w:rsidRPr="00721CE5">
              <w:rPr>
                <w:lang w:val="ro-RO"/>
              </w:rPr>
              <w:t>2</w:t>
            </w:r>
          </w:p>
        </w:tc>
        <w:tc>
          <w:tcPr>
            <w:tcW w:w="1410" w:type="dxa"/>
            <w:vMerge/>
          </w:tcPr>
          <w:p w:rsidR="00B230C0" w:rsidRPr="00721CE5" w:rsidRDefault="00B230C0" w:rsidP="00813468">
            <w:pPr>
              <w:ind w:left="284" w:right="9"/>
              <w:jc w:val="both"/>
              <w:rPr>
                <w:lang w:val="ro-RO"/>
              </w:rPr>
            </w:pPr>
          </w:p>
        </w:tc>
        <w:tc>
          <w:tcPr>
            <w:tcW w:w="1740" w:type="dxa"/>
            <w:vMerge/>
          </w:tcPr>
          <w:p w:rsidR="00B230C0" w:rsidRPr="00721CE5" w:rsidRDefault="00B230C0" w:rsidP="00813468">
            <w:pPr>
              <w:ind w:left="284" w:right="9"/>
              <w:jc w:val="both"/>
              <w:rPr>
                <w:lang w:val="ro-RO"/>
              </w:rPr>
            </w:pPr>
          </w:p>
        </w:tc>
      </w:tr>
      <w:tr w:rsidR="00B230C0" w:rsidRPr="00721CE5" w:rsidTr="00DA38A8">
        <w:trPr>
          <w:jc w:val="center"/>
        </w:trPr>
        <w:tc>
          <w:tcPr>
            <w:tcW w:w="2113" w:type="dxa"/>
            <w:vMerge/>
          </w:tcPr>
          <w:p w:rsidR="00B230C0" w:rsidRPr="00721CE5" w:rsidRDefault="00B230C0" w:rsidP="00813468">
            <w:pPr>
              <w:ind w:left="284" w:right="9"/>
              <w:jc w:val="both"/>
              <w:rPr>
                <w:lang w:val="ro-RO"/>
              </w:rPr>
            </w:pPr>
          </w:p>
        </w:tc>
        <w:tc>
          <w:tcPr>
            <w:tcW w:w="945" w:type="dxa"/>
          </w:tcPr>
          <w:p w:rsidR="00B230C0" w:rsidRPr="00721CE5" w:rsidRDefault="00B230C0" w:rsidP="00813468">
            <w:pPr>
              <w:ind w:left="284" w:right="9"/>
              <w:jc w:val="both"/>
              <w:rPr>
                <w:lang w:val="ro-RO"/>
              </w:rPr>
            </w:pPr>
            <w:r w:rsidRPr="00721CE5">
              <w:rPr>
                <w:lang w:val="ro-RO"/>
              </w:rPr>
              <w:t>PH7</w:t>
            </w:r>
          </w:p>
        </w:tc>
        <w:tc>
          <w:tcPr>
            <w:tcW w:w="1202" w:type="dxa"/>
          </w:tcPr>
          <w:p w:rsidR="00B230C0" w:rsidRPr="00721CE5" w:rsidRDefault="00B230C0" w:rsidP="00813468">
            <w:pPr>
              <w:ind w:left="284" w:right="9"/>
              <w:jc w:val="center"/>
              <w:rPr>
                <w:lang w:val="ro-RO"/>
              </w:rPr>
            </w:pPr>
            <w:r w:rsidRPr="00721CE5">
              <w:rPr>
                <w:lang w:val="ro-RO"/>
              </w:rPr>
              <w:t>2</w:t>
            </w:r>
          </w:p>
        </w:tc>
        <w:tc>
          <w:tcPr>
            <w:tcW w:w="1410" w:type="dxa"/>
            <w:vMerge/>
          </w:tcPr>
          <w:p w:rsidR="00B230C0" w:rsidRPr="00721CE5" w:rsidRDefault="00B230C0" w:rsidP="00813468">
            <w:pPr>
              <w:ind w:left="284" w:right="9"/>
              <w:jc w:val="both"/>
              <w:rPr>
                <w:lang w:val="ro-RO"/>
              </w:rPr>
            </w:pPr>
          </w:p>
        </w:tc>
        <w:tc>
          <w:tcPr>
            <w:tcW w:w="1740" w:type="dxa"/>
            <w:vMerge/>
          </w:tcPr>
          <w:p w:rsidR="00B230C0" w:rsidRPr="00721CE5" w:rsidRDefault="00B230C0" w:rsidP="00813468">
            <w:pPr>
              <w:ind w:left="284" w:right="9"/>
              <w:jc w:val="both"/>
              <w:rPr>
                <w:lang w:val="ro-RO"/>
              </w:rPr>
            </w:pPr>
          </w:p>
        </w:tc>
      </w:tr>
    </w:tbl>
    <w:p w:rsidR="00B230C0" w:rsidRPr="00721CE5" w:rsidRDefault="00B230C0" w:rsidP="00813468">
      <w:pPr>
        <w:ind w:left="284" w:right="9"/>
        <w:jc w:val="both"/>
        <w:rPr>
          <w:lang w:val="ro-RO"/>
        </w:rPr>
      </w:pPr>
    </w:p>
    <w:p w:rsidR="00B230C0" w:rsidRPr="00721CE5" w:rsidRDefault="00B230C0" w:rsidP="00813468">
      <w:pPr>
        <w:ind w:left="284" w:right="9"/>
        <w:rPr>
          <w:lang w:val="it-IT"/>
        </w:rPr>
      </w:pPr>
    </w:p>
    <w:p w:rsidR="00B230C0" w:rsidRPr="00721CE5" w:rsidRDefault="00B230C0" w:rsidP="00813468">
      <w:pPr>
        <w:ind w:left="284" w:right="9"/>
        <w:rPr>
          <w:lang w:val="it-IT"/>
        </w:rPr>
      </w:pPr>
      <w:r w:rsidRPr="00721CE5">
        <w:rPr>
          <w:lang w:val="it-IT"/>
        </w:rPr>
        <w:t>Pentru indicatorul benzen, valorile medii în perioada 01.01.2023-31.10.2023 la cele 7 staţii automate de monitorizare a calităţii aerului sunt următoarele:</w:t>
      </w:r>
    </w:p>
    <w:p w:rsidR="00B230C0" w:rsidRPr="00721CE5" w:rsidRDefault="00B230C0" w:rsidP="00813468">
      <w:pPr>
        <w:ind w:left="284" w:right="9"/>
        <w:rPr>
          <w:lang w:val="it-IT"/>
        </w:rPr>
      </w:pPr>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403"/>
        <w:gridCol w:w="1669"/>
        <w:gridCol w:w="1483"/>
        <w:gridCol w:w="1216"/>
      </w:tblGrid>
      <w:tr w:rsidR="00B230C0" w:rsidRPr="00721CE5" w:rsidTr="00DA38A8">
        <w:trPr>
          <w:jc w:val="center"/>
        </w:trPr>
        <w:tc>
          <w:tcPr>
            <w:tcW w:w="1387" w:type="dxa"/>
            <w:tcBorders>
              <w:top w:val="single" w:sz="4" w:space="0" w:color="auto"/>
              <w:left w:val="single" w:sz="4" w:space="0" w:color="auto"/>
              <w:bottom w:val="single" w:sz="4" w:space="0" w:color="auto"/>
              <w:right w:val="single" w:sz="4" w:space="0" w:color="auto"/>
            </w:tcBorders>
            <w:vAlign w:val="center"/>
          </w:tcPr>
          <w:p w:rsidR="00B230C0" w:rsidRPr="00721CE5" w:rsidRDefault="00B230C0" w:rsidP="00813468">
            <w:pPr>
              <w:ind w:left="284" w:right="9"/>
              <w:jc w:val="center"/>
              <w:rPr>
                <w:b/>
              </w:rPr>
            </w:pPr>
            <w:r w:rsidRPr="00721CE5">
              <w:rPr>
                <w:b/>
              </w:rPr>
              <w:t>INDICATOR</w:t>
            </w:r>
          </w:p>
        </w:tc>
        <w:tc>
          <w:tcPr>
            <w:tcW w:w="1197" w:type="dxa"/>
            <w:tcBorders>
              <w:top w:val="single" w:sz="4" w:space="0" w:color="auto"/>
              <w:left w:val="single" w:sz="4" w:space="0" w:color="auto"/>
              <w:bottom w:val="single" w:sz="4" w:space="0" w:color="auto"/>
              <w:right w:val="single" w:sz="4" w:space="0" w:color="auto"/>
            </w:tcBorders>
            <w:vAlign w:val="center"/>
          </w:tcPr>
          <w:p w:rsidR="00B230C0" w:rsidRPr="00721CE5" w:rsidRDefault="00B230C0" w:rsidP="00813468">
            <w:pPr>
              <w:ind w:left="284" w:right="9"/>
              <w:jc w:val="center"/>
              <w:rPr>
                <w:b/>
              </w:rPr>
            </w:pPr>
            <w:r w:rsidRPr="00721CE5">
              <w:rPr>
                <w:b/>
              </w:rPr>
              <w:t>STATIA</w:t>
            </w:r>
          </w:p>
        </w:tc>
        <w:tc>
          <w:tcPr>
            <w:tcW w:w="1503" w:type="dxa"/>
            <w:tcBorders>
              <w:top w:val="single" w:sz="4" w:space="0" w:color="auto"/>
              <w:left w:val="single" w:sz="4" w:space="0" w:color="auto"/>
              <w:bottom w:val="single" w:sz="4" w:space="0" w:color="auto"/>
              <w:right w:val="single" w:sz="4" w:space="0" w:color="auto"/>
            </w:tcBorders>
            <w:vAlign w:val="center"/>
          </w:tcPr>
          <w:p w:rsidR="00B230C0" w:rsidRPr="00721CE5" w:rsidRDefault="00B230C0" w:rsidP="00813468">
            <w:pPr>
              <w:ind w:left="284" w:right="9"/>
              <w:jc w:val="center"/>
              <w:rPr>
                <w:b/>
              </w:rPr>
            </w:pPr>
            <w:proofErr w:type="spellStart"/>
            <w:r w:rsidRPr="00721CE5">
              <w:rPr>
                <w:b/>
              </w:rPr>
              <w:t>Perioada</w:t>
            </w:r>
            <w:proofErr w:type="spellEnd"/>
          </w:p>
        </w:tc>
        <w:tc>
          <w:tcPr>
            <w:tcW w:w="2070" w:type="dxa"/>
            <w:tcBorders>
              <w:top w:val="single" w:sz="4" w:space="0" w:color="auto"/>
              <w:left w:val="single" w:sz="4" w:space="0" w:color="auto"/>
              <w:bottom w:val="single" w:sz="4" w:space="0" w:color="auto"/>
              <w:right w:val="single" w:sz="4" w:space="0" w:color="auto"/>
            </w:tcBorders>
          </w:tcPr>
          <w:p w:rsidR="00B230C0" w:rsidRPr="00721CE5" w:rsidRDefault="00B230C0" w:rsidP="00813468">
            <w:pPr>
              <w:ind w:left="284" w:right="9"/>
              <w:jc w:val="center"/>
              <w:rPr>
                <w:b/>
                <w:lang w:val="it-IT"/>
              </w:rPr>
            </w:pPr>
            <w:r w:rsidRPr="00721CE5">
              <w:rPr>
                <w:b/>
                <w:lang w:val="it-IT"/>
              </w:rPr>
              <w:t>Valoare medie anuala masurata [</w:t>
            </w:r>
            <w:r w:rsidRPr="00721CE5">
              <w:rPr>
                <w:lang w:val="it-IT"/>
              </w:rPr>
              <w:t>µg/mc]</w:t>
            </w:r>
          </w:p>
          <w:p w:rsidR="00B230C0" w:rsidRPr="00721CE5" w:rsidRDefault="00B230C0" w:rsidP="00813468">
            <w:pPr>
              <w:ind w:left="284" w:right="9"/>
              <w:jc w:val="center"/>
              <w:rPr>
                <w:b/>
              </w:rPr>
            </w:pPr>
          </w:p>
        </w:tc>
        <w:tc>
          <w:tcPr>
            <w:tcW w:w="1053" w:type="dxa"/>
            <w:tcBorders>
              <w:top w:val="single" w:sz="4" w:space="0" w:color="auto"/>
              <w:left w:val="single" w:sz="4" w:space="0" w:color="auto"/>
              <w:bottom w:val="single" w:sz="4" w:space="0" w:color="auto"/>
              <w:right w:val="single" w:sz="4" w:space="0" w:color="auto"/>
            </w:tcBorders>
            <w:vAlign w:val="center"/>
          </w:tcPr>
          <w:p w:rsidR="00B230C0" w:rsidRPr="00721CE5" w:rsidRDefault="00B230C0" w:rsidP="00813468">
            <w:pPr>
              <w:ind w:left="284" w:right="9"/>
              <w:jc w:val="center"/>
              <w:rPr>
                <w:b/>
              </w:rPr>
            </w:pPr>
            <w:r w:rsidRPr="00721CE5">
              <w:rPr>
                <w:b/>
              </w:rPr>
              <w:t>VL</w:t>
            </w:r>
          </w:p>
        </w:tc>
      </w:tr>
      <w:tr w:rsidR="00B230C0" w:rsidRPr="00721CE5" w:rsidTr="00DA38A8">
        <w:trPr>
          <w:jc w:val="center"/>
        </w:trPr>
        <w:tc>
          <w:tcPr>
            <w:tcW w:w="1387" w:type="dxa"/>
            <w:vMerge w:val="restart"/>
            <w:tcBorders>
              <w:top w:val="single" w:sz="4" w:space="0" w:color="auto"/>
            </w:tcBorders>
            <w:vAlign w:val="center"/>
          </w:tcPr>
          <w:p w:rsidR="00B230C0" w:rsidRPr="00721CE5" w:rsidRDefault="00B230C0" w:rsidP="00813468">
            <w:pPr>
              <w:ind w:left="284" w:right="9"/>
              <w:jc w:val="center"/>
            </w:pPr>
            <w:proofErr w:type="spellStart"/>
            <w:r w:rsidRPr="00721CE5">
              <w:t>Benzen</w:t>
            </w:r>
            <w:proofErr w:type="spellEnd"/>
          </w:p>
        </w:tc>
        <w:tc>
          <w:tcPr>
            <w:tcW w:w="1197" w:type="dxa"/>
            <w:tcBorders>
              <w:top w:val="single" w:sz="4" w:space="0" w:color="auto"/>
            </w:tcBorders>
            <w:vAlign w:val="center"/>
          </w:tcPr>
          <w:p w:rsidR="00B230C0" w:rsidRPr="00721CE5" w:rsidRDefault="00B230C0" w:rsidP="00813468">
            <w:pPr>
              <w:ind w:left="284" w:right="9"/>
              <w:jc w:val="center"/>
            </w:pPr>
            <w:r w:rsidRPr="00721CE5">
              <w:t>PH1</w:t>
            </w:r>
          </w:p>
        </w:tc>
        <w:tc>
          <w:tcPr>
            <w:tcW w:w="1503" w:type="dxa"/>
            <w:vMerge w:val="restart"/>
            <w:tcBorders>
              <w:top w:val="single" w:sz="4" w:space="0" w:color="auto"/>
            </w:tcBorders>
            <w:vAlign w:val="center"/>
          </w:tcPr>
          <w:p w:rsidR="00B230C0" w:rsidRPr="00721CE5" w:rsidRDefault="00B230C0" w:rsidP="00813468">
            <w:pPr>
              <w:ind w:left="284" w:right="9"/>
              <w:jc w:val="center"/>
            </w:pPr>
            <w:r w:rsidRPr="00721CE5">
              <w:rPr>
                <w:lang w:val="it-IT"/>
              </w:rPr>
              <w:t>01.01.2023-31.10.2023</w:t>
            </w:r>
          </w:p>
        </w:tc>
        <w:tc>
          <w:tcPr>
            <w:tcW w:w="2070" w:type="dxa"/>
            <w:tcBorders>
              <w:top w:val="single" w:sz="4" w:space="0" w:color="auto"/>
            </w:tcBorders>
            <w:vAlign w:val="center"/>
          </w:tcPr>
          <w:p w:rsidR="00B230C0" w:rsidRPr="00721CE5" w:rsidRDefault="00B230C0" w:rsidP="00813468">
            <w:pPr>
              <w:ind w:left="284" w:right="9"/>
              <w:jc w:val="center"/>
            </w:pPr>
            <w:r w:rsidRPr="00721CE5">
              <w:t>-</w:t>
            </w:r>
          </w:p>
        </w:tc>
        <w:tc>
          <w:tcPr>
            <w:tcW w:w="1053" w:type="dxa"/>
            <w:vMerge w:val="restart"/>
            <w:tcBorders>
              <w:top w:val="single" w:sz="4" w:space="0" w:color="auto"/>
            </w:tcBorders>
            <w:vAlign w:val="center"/>
          </w:tcPr>
          <w:p w:rsidR="00B230C0" w:rsidRPr="00721CE5" w:rsidRDefault="00B230C0" w:rsidP="00813468">
            <w:pPr>
              <w:ind w:left="284" w:right="9"/>
              <w:jc w:val="center"/>
            </w:pPr>
            <w:r w:rsidRPr="00721CE5">
              <w:t>5 µg/mc</w:t>
            </w:r>
          </w:p>
          <w:p w:rsidR="00B230C0" w:rsidRPr="00721CE5" w:rsidRDefault="00B230C0" w:rsidP="00813468">
            <w:pPr>
              <w:ind w:left="284" w:right="9"/>
              <w:jc w:val="center"/>
            </w:pPr>
          </w:p>
          <w:p w:rsidR="00B230C0" w:rsidRPr="00721CE5" w:rsidRDefault="00B230C0" w:rsidP="00813468">
            <w:pPr>
              <w:ind w:left="284" w:right="9"/>
              <w:jc w:val="center"/>
            </w:pPr>
            <w:r w:rsidRPr="00721CE5">
              <w:t>(</w:t>
            </w:r>
            <w:proofErr w:type="spellStart"/>
            <w:r w:rsidRPr="00721CE5">
              <w:t>medie</w:t>
            </w:r>
            <w:proofErr w:type="spellEnd"/>
            <w:r w:rsidRPr="00721CE5">
              <w:t xml:space="preserve"> </w:t>
            </w:r>
            <w:proofErr w:type="spellStart"/>
            <w:r w:rsidRPr="00721CE5">
              <w:t>anuala</w:t>
            </w:r>
            <w:proofErr w:type="spellEnd"/>
            <w:r w:rsidRPr="00721CE5">
              <w:t>)</w:t>
            </w:r>
          </w:p>
        </w:tc>
      </w:tr>
      <w:tr w:rsidR="00B230C0" w:rsidRPr="00721CE5" w:rsidTr="00DA38A8">
        <w:trPr>
          <w:jc w:val="center"/>
        </w:trPr>
        <w:tc>
          <w:tcPr>
            <w:tcW w:w="1387" w:type="dxa"/>
            <w:vMerge/>
            <w:vAlign w:val="center"/>
          </w:tcPr>
          <w:p w:rsidR="00B230C0" w:rsidRPr="00721CE5" w:rsidRDefault="00B230C0" w:rsidP="00813468">
            <w:pPr>
              <w:ind w:left="284" w:right="9"/>
              <w:jc w:val="center"/>
            </w:pPr>
          </w:p>
        </w:tc>
        <w:tc>
          <w:tcPr>
            <w:tcW w:w="1197" w:type="dxa"/>
            <w:vAlign w:val="center"/>
          </w:tcPr>
          <w:p w:rsidR="00B230C0" w:rsidRPr="00721CE5" w:rsidRDefault="00B230C0" w:rsidP="00813468">
            <w:pPr>
              <w:ind w:left="284" w:right="9"/>
              <w:jc w:val="center"/>
            </w:pPr>
            <w:r w:rsidRPr="00721CE5">
              <w:t>PH2</w:t>
            </w:r>
          </w:p>
        </w:tc>
        <w:tc>
          <w:tcPr>
            <w:tcW w:w="1503" w:type="dxa"/>
            <w:vMerge/>
            <w:vAlign w:val="center"/>
          </w:tcPr>
          <w:p w:rsidR="00B230C0" w:rsidRPr="00721CE5" w:rsidRDefault="00B230C0" w:rsidP="00813468">
            <w:pPr>
              <w:ind w:left="284" w:right="9"/>
              <w:jc w:val="center"/>
            </w:pPr>
          </w:p>
        </w:tc>
        <w:tc>
          <w:tcPr>
            <w:tcW w:w="2070" w:type="dxa"/>
            <w:vAlign w:val="center"/>
          </w:tcPr>
          <w:p w:rsidR="00B230C0" w:rsidRPr="00721CE5" w:rsidRDefault="00B230C0" w:rsidP="00813468">
            <w:pPr>
              <w:ind w:left="284" w:right="9"/>
              <w:jc w:val="center"/>
            </w:pPr>
            <w:r w:rsidRPr="00721CE5">
              <w:t>3.03</w:t>
            </w:r>
          </w:p>
        </w:tc>
        <w:tc>
          <w:tcPr>
            <w:tcW w:w="1053" w:type="dxa"/>
            <w:vMerge/>
            <w:vAlign w:val="center"/>
          </w:tcPr>
          <w:p w:rsidR="00B230C0" w:rsidRPr="00721CE5" w:rsidRDefault="00B230C0" w:rsidP="00813468">
            <w:pPr>
              <w:ind w:left="284" w:right="9"/>
              <w:jc w:val="center"/>
            </w:pPr>
          </w:p>
        </w:tc>
      </w:tr>
      <w:tr w:rsidR="00B230C0" w:rsidRPr="00721CE5" w:rsidTr="00DA38A8">
        <w:trPr>
          <w:jc w:val="center"/>
        </w:trPr>
        <w:tc>
          <w:tcPr>
            <w:tcW w:w="1387" w:type="dxa"/>
            <w:vMerge/>
            <w:vAlign w:val="center"/>
          </w:tcPr>
          <w:p w:rsidR="00B230C0" w:rsidRPr="00721CE5" w:rsidRDefault="00B230C0" w:rsidP="00813468">
            <w:pPr>
              <w:ind w:left="284" w:right="9"/>
              <w:jc w:val="center"/>
            </w:pPr>
          </w:p>
        </w:tc>
        <w:tc>
          <w:tcPr>
            <w:tcW w:w="1197" w:type="dxa"/>
            <w:vAlign w:val="center"/>
          </w:tcPr>
          <w:p w:rsidR="00B230C0" w:rsidRPr="00721CE5" w:rsidRDefault="00B230C0" w:rsidP="00813468">
            <w:pPr>
              <w:ind w:left="284" w:right="9"/>
              <w:jc w:val="center"/>
            </w:pPr>
            <w:r w:rsidRPr="00721CE5">
              <w:t>PH3</w:t>
            </w:r>
          </w:p>
        </w:tc>
        <w:tc>
          <w:tcPr>
            <w:tcW w:w="1503" w:type="dxa"/>
            <w:vMerge/>
            <w:vAlign w:val="center"/>
          </w:tcPr>
          <w:p w:rsidR="00B230C0" w:rsidRPr="00721CE5" w:rsidRDefault="00B230C0" w:rsidP="00813468">
            <w:pPr>
              <w:ind w:left="284" w:right="9"/>
              <w:jc w:val="center"/>
            </w:pPr>
          </w:p>
        </w:tc>
        <w:tc>
          <w:tcPr>
            <w:tcW w:w="2070" w:type="dxa"/>
            <w:vAlign w:val="center"/>
          </w:tcPr>
          <w:p w:rsidR="00B230C0" w:rsidRPr="00721CE5" w:rsidRDefault="00B230C0" w:rsidP="00813468">
            <w:pPr>
              <w:ind w:left="284" w:right="9"/>
              <w:jc w:val="center"/>
            </w:pPr>
            <w:r w:rsidRPr="00721CE5">
              <w:t>-</w:t>
            </w:r>
          </w:p>
        </w:tc>
        <w:tc>
          <w:tcPr>
            <w:tcW w:w="1053" w:type="dxa"/>
            <w:vMerge/>
            <w:vAlign w:val="center"/>
          </w:tcPr>
          <w:p w:rsidR="00B230C0" w:rsidRPr="00721CE5" w:rsidRDefault="00B230C0" w:rsidP="00813468">
            <w:pPr>
              <w:ind w:left="284" w:right="9"/>
              <w:jc w:val="center"/>
            </w:pPr>
          </w:p>
        </w:tc>
      </w:tr>
      <w:tr w:rsidR="00B230C0" w:rsidRPr="00721CE5" w:rsidTr="00DA38A8">
        <w:trPr>
          <w:jc w:val="center"/>
        </w:trPr>
        <w:tc>
          <w:tcPr>
            <w:tcW w:w="1387" w:type="dxa"/>
            <w:vMerge/>
            <w:vAlign w:val="center"/>
          </w:tcPr>
          <w:p w:rsidR="00B230C0" w:rsidRPr="00721CE5" w:rsidRDefault="00B230C0" w:rsidP="00813468">
            <w:pPr>
              <w:ind w:left="284" w:right="9"/>
              <w:jc w:val="center"/>
            </w:pPr>
          </w:p>
        </w:tc>
        <w:tc>
          <w:tcPr>
            <w:tcW w:w="1197" w:type="dxa"/>
            <w:vAlign w:val="center"/>
          </w:tcPr>
          <w:p w:rsidR="00B230C0" w:rsidRPr="00721CE5" w:rsidRDefault="00B230C0" w:rsidP="00813468">
            <w:pPr>
              <w:ind w:left="284" w:right="9"/>
              <w:jc w:val="center"/>
            </w:pPr>
            <w:r w:rsidRPr="00721CE5">
              <w:t>PH4</w:t>
            </w:r>
          </w:p>
        </w:tc>
        <w:tc>
          <w:tcPr>
            <w:tcW w:w="1503" w:type="dxa"/>
            <w:vMerge/>
            <w:vAlign w:val="center"/>
          </w:tcPr>
          <w:p w:rsidR="00B230C0" w:rsidRPr="00721CE5" w:rsidRDefault="00B230C0" w:rsidP="00813468">
            <w:pPr>
              <w:ind w:left="284" w:right="9"/>
              <w:jc w:val="center"/>
            </w:pPr>
          </w:p>
        </w:tc>
        <w:tc>
          <w:tcPr>
            <w:tcW w:w="2070" w:type="dxa"/>
            <w:vAlign w:val="center"/>
          </w:tcPr>
          <w:p w:rsidR="00B230C0" w:rsidRPr="00721CE5" w:rsidRDefault="00B230C0" w:rsidP="00813468">
            <w:pPr>
              <w:ind w:left="284" w:right="9"/>
              <w:jc w:val="center"/>
            </w:pPr>
            <w:r w:rsidRPr="00721CE5">
              <w:t>2.77</w:t>
            </w:r>
          </w:p>
        </w:tc>
        <w:tc>
          <w:tcPr>
            <w:tcW w:w="1053" w:type="dxa"/>
            <w:vMerge/>
            <w:vAlign w:val="center"/>
          </w:tcPr>
          <w:p w:rsidR="00B230C0" w:rsidRPr="00721CE5" w:rsidRDefault="00B230C0" w:rsidP="00813468">
            <w:pPr>
              <w:ind w:left="284" w:right="9"/>
              <w:jc w:val="center"/>
            </w:pPr>
          </w:p>
        </w:tc>
      </w:tr>
      <w:tr w:rsidR="00B230C0" w:rsidRPr="00721CE5" w:rsidTr="00DA38A8">
        <w:trPr>
          <w:jc w:val="center"/>
        </w:trPr>
        <w:tc>
          <w:tcPr>
            <w:tcW w:w="1387" w:type="dxa"/>
            <w:vMerge/>
            <w:vAlign w:val="center"/>
          </w:tcPr>
          <w:p w:rsidR="00B230C0" w:rsidRPr="00721CE5" w:rsidRDefault="00B230C0" w:rsidP="00813468">
            <w:pPr>
              <w:ind w:left="284" w:right="9"/>
              <w:jc w:val="center"/>
            </w:pPr>
          </w:p>
        </w:tc>
        <w:tc>
          <w:tcPr>
            <w:tcW w:w="1197" w:type="dxa"/>
            <w:vAlign w:val="center"/>
          </w:tcPr>
          <w:p w:rsidR="00B230C0" w:rsidRPr="00721CE5" w:rsidRDefault="00B230C0" w:rsidP="00813468">
            <w:pPr>
              <w:ind w:left="284" w:right="9"/>
              <w:jc w:val="center"/>
            </w:pPr>
            <w:r w:rsidRPr="00721CE5">
              <w:t>PH5</w:t>
            </w:r>
          </w:p>
        </w:tc>
        <w:tc>
          <w:tcPr>
            <w:tcW w:w="1503" w:type="dxa"/>
            <w:vMerge/>
            <w:vAlign w:val="center"/>
          </w:tcPr>
          <w:p w:rsidR="00B230C0" w:rsidRPr="00721CE5" w:rsidRDefault="00B230C0" w:rsidP="00813468">
            <w:pPr>
              <w:ind w:left="284" w:right="9"/>
              <w:jc w:val="center"/>
            </w:pPr>
          </w:p>
        </w:tc>
        <w:tc>
          <w:tcPr>
            <w:tcW w:w="2070" w:type="dxa"/>
            <w:vAlign w:val="center"/>
          </w:tcPr>
          <w:p w:rsidR="00B230C0" w:rsidRPr="00721CE5" w:rsidRDefault="00B230C0" w:rsidP="00813468">
            <w:pPr>
              <w:ind w:left="284" w:right="9"/>
              <w:jc w:val="center"/>
            </w:pPr>
            <w:r w:rsidRPr="00721CE5">
              <w:t>3.14</w:t>
            </w:r>
          </w:p>
        </w:tc>
        <w:tc>
          <w:tcPr>
            <w:tcW w:w="1053" w:type="dxa"/>
            <w:vMerge/>
            <w:vAlign w:val="center"/>
          </w:tcPr>
          <w:p w:rsidR="00B230C0" w:rsidRPr="00721CE5" w:rsidRDefault="00B230C0" w:rsidP="00813468">
            <w:pPr>
              <w:ind w:left="284" w:right="9"/>
              <w:jc w:val="center"/>
            </w:pPr>
          </w:p>
        </w:tc>
      </w:tr>
      <w:tr w:rsidR="00B230C0" w:rsidRPr="00721CE5" w:rsidTr="00DA38A8">
        <w:trPr>
          <w:jc w:val="center"/>
        </w:trPr>
        <w:tc>
          <w:tcPr>
            <w:tcW w:w="1387" w:type="dxa"/>
            <w:vMerge/>
            <w:vAlign w:val="center"/>
          </w:tcPr>
          <w:p w:rsidR="00B230C0" w:rsidRPr="00721CE5" w:rsidRDefault="00B230C0" w:rsidP="00813468">
            <w:pPr>
              <w:ind w:left="284" w:right="9"/>
              <w:jc w:val="center"/>
            </w:pPr>
          </w:p>
        </w:tc>
        <w:tc>
          <w:tcPr>
            <w:tcW w:w="1197" w:type="dxa"/>
            <w:vAlign w:val="center"/>
          </w:tcPr>
          <w:p w:rsidR="00B230C0" w:rsidRPr="00721CE5" w:rsidRDefault="00B230C0" w:rsidP="00813468">
            <w:pPr>
              <w:ind w:left="284" w:right="9"/>
              <w:jc w:val="center"/>
            </w:pPr>
            <w:r w:rsidRPr="00721CE5">
              <w:t>PH6</w:t>
            </w:r>
          </w:p>
        </w:tc>
        <w:tc>
          <w:tcPr>
            <w:tcW w:w="1503" w:type="dxa"/>
            <w:vMerge/>
            <w:vAlign w:val="center"/>
          </w:tcPr>
          <w:p w:rsidR="00B230C0" w:rsidRPr="00721CE5" w:rsidRDefault="00B230C0" w:rsidP="00813468">
            <w:pPr>
              <w:ind w:left="284" w:right="9"/>
              <w:jc w:val="center"/>
            </w:pPr>
          </w:p>
        </w:tc>
        <w:tc>
          <w:tcPr>
            <w:tcW w:w="2070" w:type="dxa"/>
            <w:vAlign w:val="center"/>
          </w:tcPr>
          <w:p w:rsidR="00B230C0" w:rsidRPr="00721CE5" w:rsidRDefault="00B230C0" w:rsidP="00813468">
            <w:pPr>
              <w:ind w:left="284" w:right="9"/>
              <w:jc w:val="center"/>
            </w:pPr>
            <w:r w:rsidRPr="00721CE5">
              <w:t>1.49</w:t>
            </w:r>
          </w:p>
        </w:tc>
        <w:tc>
          <w:tcPr>
            <w:tcW w:w="1053" w:type="dxa"/>
            <w:vMerge/>
            <w:vAlign w:val="center"/>
          </w:tcPr>
          <w:p w:rsidR="00B230C0" w:rsidRPr="00721CE5" w:rsidRDefault="00B230C0" w:rsidP="00813468">
            <w:pPr>
              <w:ind w:left="284" w:right="9"/>
              <w:jc w:val="center"/>
            </w:pPr>
          </w:p>
        </w:tc>
      </w:tr>
      <w:tr w:rsidR="00B230C0" w:rsidRPr="00721CE5" w:rsidTr="00DA38A8">
        <w:trPr>
          <w:jc w:val="center"/>
        </w:trPr>
        <w:tc>
          <w:tcPr>
            <w:tcW w:w="1387" w:type="dxa"/>
            <w:vMerge/>
            <w:vAlign w:val="center"/>
          </w:tcPr>
          <w:p w:rsidR="00B230C0" w:rsidRPr="00721CE5" w:rsidRDefault="00B230C0" w:rsidP="00813468">
            <w:pPr>
              <w:ind w:left="284" w:right="9"/>
              <w:jc w:val="center"/>
            </w:pPr>
          </w:p>
        </w:tc>
        <w:tc>
          <w:tcPr>
            <w:tcW w:w="1197" w:type="dxa"/>
            <w:vAlign w:val="center"/>
          </w:tcPr>
          <w:p w:rsidR="00B230C0" w:rsidRPr="00721CE5" w:rsidRDefault="00B230C0" w:rsidP="00813468">
            <w:pPr>
              <w:ind w:left="284" w:right="9"/>
              <w:jc w:val="center"/>
            </w:pPr>
            <w:r w:rsidRPr="00721CE5">
              <w:t>PH7</w:t>
            </w:r>
          </w:p>
        </w:tc>
        <w:tc>
          <w:tcPr>
            <w:tcW w:w="1503" w:type="dxa"/>
            <w:vMerge/>
            <w:vAlign w:val="center"/>
          </w:tcPr>
          <w:p w:rsidR="00B230C0" w:rsidRPr="00721CE5" w:rsidRDefault="00B230C0" w:rsidP="00813468">
            <w:pPr>
              <w:ind w:left="284" w:right="9"/>
              <w:jc w:val="center"/>
            </w:pPr>
          </w:p>
        </w:tc>
        <w:tc>
          <w:tcPr>
            <w:tcW w:w="2070" w:type="dxa"/>
            <w:vAlign w:val="center"/>
          </w:tcPr>
          <w:p w:rsidR="00B230C0" w:rsidRPr="00721CE5" w:rsidRDefault="00B230C0" w:rsidP="00813468">
            <w:pPr>
              <w:ind w:left="284" w:right="9"/>
              <w:jc w:val="center"/>
            </w:pPr>
            <w:r w:rsidRPr="00721CE5">
              <w:t>0.75</w:t>
            </w:r>
          </w:p>
        </w:tc>
        <w:tc>
          <w:tcPr>
            <w:tcW w:w="1053" w:type="dxa"/>
            <w:vMerge/>
            <w:vAlign w:val="center"/>
          </w:tcPr>
          <w:p w:rsidR="00B230C0" w:rsidRPr="00721CE5" w:rsidRDefault="00B230C0" w:rsidP="00813468">
            <w:pPr>
              <w:ind w:left="284" w:right="9"/>
              <w:jc w:val="center"/>
            </w:pPr>
          </w:p>
        </w:tc>
      </w:tr>
    </w:tbl>
    <w:p w:rsidR="00B230C0" w:rsidRPr="00721CE5" w:rsidRDefault="00B230C0" w:rsidP="00813468">
      <w:pPr>
        <w:ind w:left="284" w:right="9" w:firstLine="516"/>
        <w:jc w:val="both"/>
        <w:rPr>
          <w:lang w:val="it-IT"/>
        </w:rPr>
      </w:pPr>
      <w:r w:rsidRPr="00721CE5">
        <w:rPr>
          <w:lang w:val="it-IT"/>
        </w:rPr>
        <w:tab/>
      </w:r>
    </w:p>
    <w:p w:rsidR="00B230C0" w:rsidRPr="00721CE5" w:rsidRDefault="00B230C0" w:rsidP="00813468">
      <w:pPr>
        <w:ind w:left="284" w:right="9" w:firstLine="720"/>
        <w:jc w:val="both"/>
        <w:rPr>
          <w:lang w:val="pt-BR"/>
        </w:rPr>
      </w:pPr>
    </w:p>
    <w:p w:rsidR="00B230C0" w:rsidRPr="00721CE5" w:rsidRDefault="00B230C0" w:rsidP="00813468">
      <w:pPr>
        <w:ind w:left="284" w:firstLine="547"/>
        <w:jc w:val="both"/>
        <w:outlineLvl w:val="0"/>
        <w:rPr>
          <w:lang w:val="ro-RO"/>
        </w:rPr>
      </w:pPr>
      <w:r w:rsidRPr="00721CE5">
        <w:rPr>
          <w:b/>
          <w:lang w:val="pt-BR"/>
        </w:rPr>
        <w:t>B</w:t>
      </w:r>
      <w:r w:rsidRPr="00721CE5">
        <w:rPr>
          <w:lang w:val="pt-BR"/>
        </w:rPr>
        <w:t xml:space="preserve">.  </w:t>
      </w:r>
      <w:r w:rsidRPr="00721CE5">
        <w:rPr>
          <w:lang w:val="ro-RO"/>
        </w:rPr>
        <w:t>APM Prahova a considerat  necesar suplimentarea monitorizarii calitatii aerului  (fata de reteaua automata formata din 7 statii) cu autolaboratorul din dotare pentru indicatorii: SO2 / H2S, NO2 / NH3, C6H6 / C7H8, PM10 si prin intermediul statiei mobile pentru indicatorii: SO2 / H2S.</w:t>
      </w:r>
    </w:p>
    <w:p w:rsidR="00B230C0" w:rsidRPr="00721CE5" w:rsidRDefault="00B230C0" w:rsidP="00813468">
      <w:pPr>
        <w:shd w:val="clear" w:color="auto" w:fill="FFFFFF"/>
        <w:ind w:left="284" w:right="10"/>
        <w:jc w:val="both"/>
        <w:rPr>
          <w:lang w:val="it-IT"/>
        </w:rPr>
      </w:pPr>
    </w:p>
    <w:p w:rsidR="00B230C0" w:rsidRPr="00721CE5" w:rsidRDefault="00B230C0" w:rsidP="00813468">
      <w:pPr>
        <w:shd w:val="clear" w:color="auto" w:fill="FFFFFF"/>
        <w:ind w:left="284" w:right="10"/>
        <w:jc w:val="both"/>
        <w:rPr>
          <w:lang w:val="ro-RO"/>
        </w:rPr>
      </w:pPr>
      <w:r w:rsidRPr="00721CE5">
        <w:rPr>
          <w:lang w:val="ro-RO"/>
        </w:rPr>
        <w:lastRenderedPageBreak/>
        <w:t>În baza planului suplimentar, A.P.M. Prahova a monitorizat calitatea aerului, astfel:</w:t>
      </w:r>
    </w:p>
    <w:p w:rsidR="00B230C0" w:rsidRPr="00721CE5" w:rsidRDefault="00B230C0" w:rsidP="00813468">
      <w:pPr>
        <w:shd w:val="clear" w:color="auto" w:fill="FFFFFF"/>
        <w:ind w:left="284" w:right="10"/>
        <w:jc w:val="both"/>
        <w:rPr>
          <w:lang w:val="ro-RO"/>
        </w:rPr>
      </w:pPr>
    </w:p>
    <w:p w:rsidR="00B230C0" w:rsidRPr="00721CE5" w:rsidRDefault="00B230C0" w:rsidP="00813468">
      <w:pPr>
        <w:shd w:val="clear" w:color="auto" w:fill="FFFFFF"/>
        <w:ind w:left="284" w:right="10"/>
        <w:jc w:val="both"/>
        <w:rPr>
          <w:lang w:val="ro-RO"/>
        </w:rPr>
      </w:pPr>
      <w:r w:rsidRPr="00721CE5">
        <w:rPr>
          <w:lang w:val="ro-RO"/>
        </w:rPr>
        <w:t>1. oraș Băicoi - 1 campanie de monitorizare:</w:t>
      </w:r>
    </w:p>
    <w:p w:rsidR="00B230C0" w:rsidRPr="00721CE5" w:rsidRDefault="00B230C0" w:rsidP="00813468">
      <w:pPr>
        <w:shd w:val="clear" w:color="auto" w:fill="FFFFFF"/>
        <w:ind w:left="284" w:right="10"/>
        <w:jc w:val="both"/>
        <w:rPr>
          <w:lang w:val="ro-RO"/>
        </w:rPr>
      </w:pPr>
    </w:p>
    <w:p w:rsidR="00B230C0" w:rsidRPr="00721CE5" w:rsidRDefault="00B230C0" w:rsidP="00813468">
      <w:pPr>
        <w:shd w:val="clear" w:color="auto" w:fill="FFFFFF"/>
        <w:ind w:left="284" w:right="10" w:firstLine="720"/>
        <w:jc w:val="both"/>
        <w:rPr>
          <w:lang w:val="ro-RO"/>
        </w:rPr>
      </w:pPr>
      <w:r w:rsidRPr="00721CE5">
        <w:rPr>
          <w:lang w:val="ro-RO"/>
        </w:rPr>
        <w:t>23.03.2023 – 05.04.2023</w:t>
      </w:r>
    </w:p>
    <w:p w:rsidR="00B230C0" w:rsidRPr="00721CE5" w:rsidRDefault="00B230C0" w:rsidP="00813468">
      <w:pPr>
        <w:shd w:val="clear" w:color="auto" w:fill="FFFFFF"/>
        <w:ind w:left="284" w:right="10"/>
        <w:jc w:val="both"/>
        <w:rPr>
          <w:lang w:val="ro-RO"/>
        </w:rPr>
      </w:pPr>
    </w:p>
    <w:p w:rsidR="00B230C0" w:rsidRPr="00721CE5" w:rsidRDefault="00B230C0" w:rsidP="00813468">
      <w:pPr>
        <w:shd w:val="clear" w:color="auto" w:fill="FFFFFF"/>
        <w:ind w:left="284" w:right="10"/>
        <w:jc w:val="both"/>
        <w:rPr>
          <w:lang w:val="ro-RO"/>
        </w:rPr>
      </w:pPr>
      <w:r w:rsidRPr="00721CE5">
        <w:rPr>
          <w:lang w:val="ro-RO"/>
        </w:rPr>
        <w:t>2. comuna Bucov - 1 campanie de monitorizare:</w:t>
      </w:r>
    </w:p>
    <w:p w:rsidR="00B230C0" w:rsidRPr="00721CE5" w:rsidRDefault="00B230C0" w:rsidP="00813468">
      <w:pPr>
        <w:shd w:val="clear" w:color="auto" w:fill="FFFFFF"/>
        <w:ind w:left="284" w:right="10"/>
        <w:jc w:val="both"/>
        <w:rPr>
          <w:lang w:val="ro-RO"/>
        </w:rPr>
      </w:pPr>
    </w:p>
    <w:p w:rsidR="00B230C0" w:rsidRPr="00721CE5" w:rsidRDefault="00B230C0" w:rsidP="00813468">
      <w:pPr>
        <w:shd w:val="clear" w:color="auto" w:fill="FFFFFF"/>
        <w:ind w:left="284" w:right="10" w:firstLine="720"/>
        <w:jc w:val="both"/>
        <w:rPr>
          <w:lang w:val="ro-RO"/>
        </w:rPr>
      </w:pPr>
      <w:r w:rsidRPr="00721CE5">
        <w:rPr>
          <w:lang w:val="ro-RO"/>
        </w:rPr>
        <w:t>27.06.2023 – 05.07.2023</w:t>
      </w:r>
    </w:p>
    <w:p w:rsidR="00B230C0" w:rsidRPr="00721CE5" w:rsidRDefault="00B230C0" w:rsidP="00813468">
      <w:pPr>
        <w:shd w:val="clear" w:color="auto" w:fill="FFFFFF"/>
        <w:ind w:left="284" w:right="10"/>
        <w:jc w:val="both"/>
        <w:rPr>
          <w:lang w:val="ro-RO"/>
        </w:rPr>
      </w:pPr>
    </w:p>
    <w:p w:rsidR="00B230C0" w:rsidRPr="00721CE5" w:rsidRDefault="00B230C0" w:rsidP="00813468">
      <w:pPr>
        <w:shd w:val="clear" w:color="auto" w:fill="FFFFFF"/>
        <w:ind w:left="284" w:right="10"/>
        <w:jc w:val="both"/>
        <w:rPr>
          <w:lang w:val="ro-RO"/>
        </w:rPr>
      </w:pPr>
      <w:r w:rsidRPr="00721CE5">
        <w:rPr>
          <w:lang w:val="ro-RO"/>
        </w:rPr>
        <w:t>3. comuna Valea Călugărească - 1 campanie de monitorizare:</w:t>
      </w:r>
    </w:p>
    <w:p w:rsidR="00B230C0" w:rsidRPr="00721CE5" w:rsidRDefault="00B230C0" w:rsidP="00813468">
      <w:pPr>
        <w:shd w:val="clear" w:color="auto" w:fill="FFFFFF"/>
        <w:ind w:left="284" w:right="10"/>
        <w:jc w:val="both"/>
        <w:rPr>
          <w:lang w:val="ro-RO"/>
        </w:rPr>
      </w:pPr>
    </w:p>
    <w:p w:rsidR="00B230C0" w:rsidRPr="00721CE5" w:rsidRDefault="00B230C0" w:rsidP="00813468">
      <w:pPr>
        <w:shd w:val="clear" w:color="auto" w:fill="FFFFFF"/>
        <w:ind w:left="284" w:right="10"/>
        <w:jc w:val="both"/>
        <w:rPr>
          <w:lang w:val="ro-RO"/>
        </w:rPr>
      </w:pPr>
      <w:r w:rsidRPr="00721CE5">
        <w:rPr>
          <w:lang w:val="ro-RO"/>
        </w:rPr>
        <w:tab/>
        <w:t>21.07.2023 – 31.07.2023</w:t>
      </w:r>
    </w:p>
    <w:p w:rsidR="00B230C0" w:rsidRPr="00721CE5" w:rsidRDefault="00B230C0" w:rsidP="00813468">
      <w:pPr>
        <w:shd w:val="clear" w:color="auto" w:fill="FFFFFF"/>
        <w:ind w:left="284" w:right="10"/>
        <w:jc w:val="both"/>
        <w:rPr>
          <w:lang w:val="ro-RO"/>
        </w:rPr>
      </w:pPr>
      <w:r w:rsidRPr="00721CE5">
        <w:rPr>
          <w:lang w:val="ro-RO"/>
        </w:rPr>
        <w:tab/>
      </w:r>
    </w:p>
    <w:p w:rsidR="00B230C0" w:rsidRPr="00721CE5" w:rsidRDefault="00B230C0" w:rsidP="00813468">
      <w:pPr>
        <w:shd w:val="clear" w:color="auto" w:fill="FFFFFF"/>
        <w:ind w:left="284" w:right="10"/>
        <w:jc w:val="both"/>
        <w:rPr>
          <w:lang w:val="ro-RO"/>
        </w:rPr>
      </w:pPr>
      <w:r w:rsidRPr="00721CE5">
        <w:rPr>
          <w:lang w:val="ro-RO"/>
        </w:rPr>
        <w:t>4. oraș Mizil – 1 campanie de monitorizare:</w:t>
      </w:r>
    </w:p>
    <w:p w:rsidR="00B230C0" w:rsidRPr="00721CE5" w:rsidRDefault="00B230C0" w:rsidP="00813468">
      <w:pPr>
        <w:shd w:val="clear" w:color="auto" w:fill="FFFFFF"/>
        <w:ind w:left="284" w:right="10"/>
        <w:jc w:val="both"/>
        <w:rPr>
          <w:lang w:val="ro-RO"/>
        </w:rPr>
      </w:pPr>
    </w:p>
    <w:p w:rsidR="00B230C0" w:rsidRPr="00721CE5" w:rsidRDefault="00B230C0" w:rsidP="00813468">
      <w:pPr>
        <w:shd w:val="clear" w:color="auto" w:fill="FFFFFF"/>
        <w:ind w:left="284" w:right="10"/>
        <w:jc w:val="both"/>
        <w:rPr>
          <w:lang w:val="ro-RO"/>
        </w:rPr>
      </w:pPr>
      <w:r w:rsidRPr="00721CE5">
        <w:rPr>
          <w:lang w:val="ro-RO"/>
        </w:rPr>
        <w:tab/>
        <w:t>02.08.2023 – 16.08.2023</w:t>
      </w:r>
    </w:p>
    <w:p w:rsidR="00B230C0" w:rsidRPr="00721CE5" w:rsidRDefault="00B230C0" w:rsidP="00813468">
      <w:pPr>
        <w:shd w:val="clear" w:color="auto" w:fill="FFFFFF"/>
        <w:ind w:left="284" w:right="10"/>
        <w:jc w:val="both"/>
        <w:rPr>
          <w:lang w:val="ro-RO"/>
        </w:rPr>
      </w:pPr>
    </w:p>
    <w:p w:rsidR="00B230C0" w:rsidRPr="00721CE5" w:rsidRDefault="00B230C0" w:rsidP="00813468">
      <w:pPr>
        <w:shd w:val="clear" w:color="auto" w:fill="FFFFFF"/>
        <w:ind w:left="284" w:right="10"/>
        <w:jc w:val="both"/>
        <w:rPr>
          <w:lang w:val="ro-RO"/>
        </w:rPr>
      </w:pPr>
      <w:r w:rsidRPr="00721CE5">
        <w:rPr>
          <w:lang w:val="ro-RO"/>
        </w:rPr>
        <w:t>5. Municipiul Ploiești (zona centrală) – 1 campanie de monitorizare:</w:t>
      </w:r>
    </w:p>
    <w:p w:rsidR="00B230C0" w:rsidRPr="00721CE5" w:rsidRDefault="00B230C0" w:rsidP="00813468">
      <w:pPr>
        <w:shd w:val="clear" w:color="auto" w:fill="FFFFFF"/>
        <w:ind w:left="284" w:right="10"/>
        <w:jc w:val="both"/>
        <w:rPr>
          <w:lang w:val="ro-RO"/>
        </w:rPr>
      </w:pPr>
    </w:p>
    <w:p w:rsidR="00B230C0" w:rsidRDefault="00B230C0" w:rsidP="00813468">
      <w:pPr>
        <w:shd w:val="clear" w:color="auto" w:fill="FFFFFF"/>
        <w:ind w:left="284" w:right="10"/>
        <w:jc w:val="both"/>
        <w:rPr>
          <w:lang w:val="ro-RO"/>
        </w:rPr>
      </w:pPr>
      <w:r w:rsidRPr="00721CE5">
        <w:rPr>
          <w:lang w:val="ro-RO"/>
        </w:rPr>
        <w:tab/>
        <w:t xml:space="preserve">08.11.2023 </w:t>
      </w:r>
      <w:r w:rsidR="007E7A30">
        <w:rPr>
          <w:lang w:val="ro-RO"/>
        </w:rPr>
        <w:t>–</w:t>
      </w:r>
      <w:r w:rsidRPr="00721CE5">
        <w:rPr>
          <w:lang w:val="ro-RO"/>
        </w:rPr>
        <w:t xml:space="preserve"> prezent</w:t>
      </w:r>
    </w:p>
    <w:p w:rsidR="007E7A30" w:rsidRPr="00721CE5" w:rsidRDefault="007E7A30" w:rsidP="00813468">
      <w:pPr>
        <w:shd w:val="clear" w:color="auto" w:fill="FFFFFF"/>
        <w:ind w:left="284" w:right="10"/>
        <w:jc w:val="both"/>
        <w:rPr>
          <w:lang w:val="ro-RO"/>
        </w:rPr>
      </w:pPr>
    </w:p>
    <w:p w:rsidR="00B230C0" w:rsidRPr="00721CE5" w:rsidRDefault="00B230C0" w:rsidP="00813468">
      <w:pPr>
        <w:shd w:val="clear" w:color="auto" w:fill="FFFFFF"/>
        <w:ind w:left="284" w:right="10"/>
        <w:jc w:val="both"/>
      </w:pPr>
      <w:r w:rsidRPr="00721CE5">
        <w:rPr>
          <w:lang w:val="it-IT"/>
        </w:rPr>
        <w:t>APM Prahova monitorizează calitatea aerului în cazul apariției unor evenimente/incendii cu ajutorul sistemelor mobile din dotare.</w:t>
      </w:r>
      <w:r w:rsidR="007E7A30">
        <w:rPr>
          <w:lang w:val="it-IT"/>
        </w:rPr>
        <w:t xml:space="preserve"> </w:t>
      </w:r>
      <w:r w:rsidRPr="00721CE5">
        <w:rPr>
          <w:lang w:val="ro-RO"/>
        </w:rPr>
        <w:t>În anul 2023, APM Prahova a intervenit la apariția unui eveniment de tip incendiu în județul Prahova, izbucnit în data de 02.11.2023 pe amplasamentul societății SC Vitalia Servicii pentru Mediu-Tratarea Deșeurilor SRL din localitatea Boldești-Scăeni. Au fost efectuate măsurări pentru indicatorii specifici prin intermediul analizorului portabil din dotare, pe direcţia de propagare a dispersiei poluanților în localitățile: Blejoi, Cocoșești, Păuleștii Noi și Boldești-Scăeni.</w:t>
      </w:r>
    </w:p>
    <w:p w:rsidR="00B230C0" w:rsidRPr="00721CE5" w:rsidRDefault="00B230C0" w:rsidP="00813468">
      <w:pPr>
        <w:shd w:val="clear" w:color="auto" w:fill="FFFFFF"/>
        <w:ind w:left="284" w:right="10"/>
        <w:jc w:val="both"/>
        <w:rPr>
          <w:lang w:val="pt-BR"/>
        </w:rPr>
      </w:pPr>
      <w:r w:rsidRPr="00721CE5">
        <w:rPr>
          <w:lang w:val="pt-BR"/>
        </w:rPr>
        <w:tab/>
      </w:r>
    </w:p>
    <w:p w:rsidR="00B230C0" w:rsidRPr="00721CE5" w:rsidRDefault="00B230C0" w:rsidP="00813468">
      <w:pPr>
        <w:pStyle w:val="Title"/>
        <w:ind w:left="284"/>
        <w:jc w:val="both"/>
        <w:rPr>
          <w:szCs w:val="24"/>
        </w:rPr>
      </w:pPr>
      <w:r w:rsidRPr="00721CE5">
        <w:rPr>
          <w:szCs w:val="24"/>
        </w:rPr>
        <w:t xml:space="preserve">         C. ACUSTICA URBANĂ</w:t>
      </w:r>
    </w:p>
    <w:p w:rsidR="00B230C0" w:rsidRPr="00721CE5" w:rsidRDefault="00B230C0" w:rsidP="00813468">
      <w:pPr>
        <w:pStyle w:val="Title"/>
        <w:ind w:left="284"/>
        <w:jc w:val="both"/>
        <w:rPr>
          <w:szCs w:val="24"/>
        </w:rPr>
      </w:pPr>
      <w:r w:rsidRPr="00721CE5">
        <w:rPr>
          <w:b w:val="0"/>
          <w:szCs w:val="24"/>
        </w:rPr>
        <w:t xml:space="preserve">    În urma monitorizării nivelului de zgomot  </w:t>
      </w:r>
      <w:r w:rsidR="007E7A30">
        <w:rPr>
          <w:b w:val="0"/>
          <w:szCs w:val="24"/>
        </w:rPr>
        <w:t>la nivelul</w:t>
      </w:r>
      <w:r w:rsidRPr="00721CE5">
        <w:rPr>
          <w:b w:val="0"/>
          <w:szCs w:val="24"/>
        </w:rPr>
        <w:t xml:space="preserve"> municipiul</w:t>
      </w:r>
      <w:r w:rsidR="007E7A30">
        <w:rPr>
          <w:b w:val="0"/>
          <w:szCs w:val="24"/>
        </w:rPr>
        <w:t>ui</w:t>
      </w:r>
      <w:r w:rsidRPr="00721CE5">
        <w:rPr>
          <w:b w:val="0"/>
          <w:szCs w:val="24"/>
        </w:rPr>
        <w:t xml:space="preserve"> Ploieşti,  cât  şi  în  judeţul  Prahova (conform programului de monitorizare al laboratorului), </w:t>
      </w:r>
      <w:r w:rsidRPr="007E7A30">
        <w:rPr>
          <w:szCs w:val="24"/>
        </w:rPr>
        <w:t>în perioada 01.01.2023-31.10.2023 s-au efectuat 113 determinări de acustică urbană</w:t>
      </w:r>
      <w:r w:rsidRPr="00721CE5">
        <w:rPr>
          <w:b w:val="0"/>
          <w:szCs w:val="24"/>
        </w:rPr>
        <w:t xml:space="preserve">. În 64% din numărul determinărilor, valorile înregistrate sunt depăşite faţă de limitele impuse de SR 10009/2017.   Preponderent,  nivelul   de  zgomot  este  dat  de  traficul  rutier , feroviar  şi  de  activităţile  industriale . </w:t>
      </w:r>
    </w:p>
    <w:p w:rsidR="00B230C0" w:rsidRPr="00721CE5" w:rsidRDefault="00B230C0" w:rsidP="00813468">
      <w:pPr>
        <w:pStyle w:val="Title"/>
        <w:ind w:left="284" w:firstLine="340"/>
        <w:jc w:val="both"/>
        <w:rPr>
          <w:b w:val="0"/>
          <w:szCs w:val="24"/>
        </w:rPr>
      </w:pPr>
      <w:r w:rsidRPr="00721CE5">
        <w:rPr>
          <w:b w:val="0"/>
          <w:szCs w:val="24"/>
        </w:rPr>
        <w:t xml:space="preserve">Se monitorizeaza nivelul de zgomot, astfel: </w:t>
      </w:r>
    </w:p>
    <w:p w:rsidR="00B230C0" w:rsidRPr="00721CE5" w:rsidRDefault="00B230C0" w:rsidP="00813468">
      <w:pPr>
        <w:pStyle w:val="Title"/>
        <w:numPr>
          <w:ilvl w:val="0"/>
          <w:numId w:val="1"/>
        </w:numPr>
        <w:ind w:left="284"/>
        <w:jc w:val="both"/>
        <w:rPr>
          <w:b w:val="0"/>
          <w:szCs w:val="24"/>
        </w:rPr>
      </w:pPr>
      <w:r w:rsidRPr="00721CE5">
        <w:rPr>
          <w:b w:val="0"/>
          <w:szCs w:val="24"/>
        </w:rPr>
        <w:t xml:space="preserve"> în principalele ora</w:t>
      </w:r>
      <w:r w:rsidR="007E7A30">
        <w:rPr>
          <w:b w:val="0"/>
          <w:szCs w:val="24"/>
        </w:rPr>
        <w:t>ș</w:t>
      </w:r>
      <w:r w:rsidRPr="00721CE5">
        <w:rPr>
          <w:b w:val="0"/>
          <w:szCs w:val="24"/>
        </w:rPr>
        <w:t>e din judeţ, conform programului de  monitorizare în puncte cu trafic intens (rutier şi feroviar), în zone aglomerate, în zone industriale, în zone protejate.</w:t>
      </w:r>
    </w:p>
    <w:p w:rsidR="00B230C0" w:rsidRPr="00721CE5" w:rsidRDefault="00B230C0" w:rsidP="00813468">
      <w:pPr>
        <w:pStyle w:val="Title"/>
        <w:ind w:left="284" w:right="9" w:firstLine="380"/>
        <w:jc w:val="both"/>
        <w:rPr>
          <w:szCs w:val="24"/>
        </w:rPr>
      </w:pPr>
    </w:p>
    <w:p w:rsidR="00B230C0" w:rsidRPr="00721CE5" w:rsidRDefault="00B230C0" w:rsidP="00813468">
      <w:pPr>
        <w:pStyle w:val="Title"/>
        <w:ind w:left="284" w:right="9" w:firstLine="380"/>
        <w:jc w:val="both"/>
        <w:rPr>
          <w:szCs w:val="24"/>
        </w:rPr>
      </w:pPr>
      <w:r w:rsidRPr="00721CE5">
        <w:rPr>
          <w:szCs w:val="24"/>
        </w:rPr>
        <w:t xml:space="preserve">D. RADIOACTIVITATE </w:t>
      </w:r>
    </w:p>
    <w:p w:rsidR="00B230C0" w:rsidRPr="00721CE5" w:rsidRDefault="00B230C0" w:rsidP="00813468">
      <w:pPr>
        <w:ind w:left="284" w:right="-981"/>
        <w:jc w:val="both"/>
        <w:rPr>
          <w:b/>
          <w:lang w:val="ro-RO"/>
        </w:rPr>
      </w:pPr>
    </w:p>
    <w:p w:rsidR="00B230C0" w:rsidRPr="00721CE5" w:rsidRDefault="00B230C0" w:rsidP="007E7A30">
      <w:pPr>
        <w:pStyle w:val="Title"/>
        <w:ind w:left="284" w:right="9" w:firstLine="380"/>
        <w:jc w:val="both"/>
        <w:rPr>
          <w:b w:val="0"/>
          <w:szCs w:val="24"/>
        </w:rPr>
      </w:pPr>
      <w:r w:rsidRPr="00721CE5">
        <w:rPr>
          <w:b w:val="0"/>
          <w:szCs w:val="24"/>
        </w:rPr>
        <w:t>În cadrul Laboratorului de radioactivitate a mediului se determină radioactivitatea beta-globala a probelor de mediu. Se efectuează măsurători zilnice ale probelor de depuneri atmosferice, aerosoli atmosferici, probe de apă de suprafaţă din râul Teleajen, probe de vegetaţie, probe de sol, doza gamma (în perioada 01.01.2023-31.10.2023 s-a efectuat un numar de  25056 determinări).</w:t>
      </w:r>
    </w:p>
    <w:p w:rsidR="00B230C0" w:rsidRPr="00721CE5" w:rsidRDefault="00B230C0" w:rsidP="00813468">
      <w:pPr>
        <w:ind w:left="284" w:right="9" w:firstLine="516"/>
        <w:jc w:val="both"/>
        <w:rPr>
          <w:lang w:val="ro-RO"/>
        </w:rPr>
      </w:pPr>
      <w:r w:rsidRPr="00721CE5">
        <w:rPr>
          <w:lang w:val="ro-RO"/>
        </w:rPr>
        <w:t>În privinţa radioactivităţii factorilor de mediu (apă, aer, sol) toate valorile obţinute s-au încadrat în limitele fondului natural de radiaţii. Menţionăm că nu s-a înregistrat nici un eveniment de contaminare radioactivă a mediului atât la Staţia RA Ploieşti, cât şi Staţia RA Babele.</w:t>
      </w:r>
    </w:p>
    <w:p w:rsidR="00B230C0" w:rsidRPr="00721CE5" w:rsidRDefault="00B230C0" w:rsidP="00813468">
      <w:pPr>
        <w:ind w:left="284" w:right="-981"/>
        <w:jc w:val="both"/>
        <w:rPr>
          <w:b/>
          <w:lang w:val="ro-RO"/>
        </w:rPr>
      </w:pPr>
    </w:p>
    <w:p w:rsidR="00B230C0" w:rsidRPr="00721CE5" w:rsidRDefault="00B230C0" w:rsidP="00813468">
      <w:pPr>
        <w:ind w:left="284" w:right="-981"/>
        <w:jc w:val="right"/>
        <w:rPr>
          <w:b/>
          <w:lang w:val="it-IT"/>
        </w:rPr>
      </w:pPr>
    </w:p>
    <w:p w:rsidR="00384A1F" w:rsidRPr="00721CE5" w:rsidRDefault="00B230C0" w:rsidP="00813468">
      <w:pPr>
        <w:spacing w:after="160" w:line="259" w:lineRule="auto"/>
        <w:ind w:left="284" w:right="-1"/>
        <w:jc w:val="both"/>
      </w:pPr>
      <w:r w:rsidRPr="00721CE5">
        <w:rPr>
          <w:b/>
          <w:lang w:val="pt-BR"/>
        </w:rPr>
        <w:t xml:space="preserve">                                                                         </w:t>
      </w:r>
    </w:p>
    <w:p w:rsidR="00A57F26" w:rsidRPr="00FD4A79" w:rsidRDefault="00A57F26" w:rsidP="00813468">
      <w:pPr>
        <w:ind w:left="284" w:right="-1"/>
        <w:jc w:val="both"/>
        <w:rPr>
          <w:b/>
          <w:color w:val="FF0000"/>
          <w:lang w:val="ro-RO"/>
        </w:rPr>
      </w:pPr>
    </w:p>
    <w:p w:rsidR="00272771" w:rsidRPr="00F312E6" w:rsidRDefault="00F312E6" w:rsidP="00813468">
      <w:pPr>
        <w:ind w:left="284" w:right="-1"/>
        <w:jc w:val="both"/>
        <w:rPr>
          <w:b/>
          <w:lang w:val="ro-RO"/>
        </w:rPr>
      </w:pPr>
      <w:r>
        <w:rPr>
          <w:b/>
          <w:lang w:val="ro-RO"/>
        </w:rPr>
        <w:t xml:space="preserve">  </w:t>
      </w:r>
      <w:r w:rsidR="00272771" w:rsidRPr="00F312E6">
        <w:rPr>
          <w:b/>
          <w:lang w:val="ro-RO"/>
        </w:rPr>
        <w:t>COMPARTIMENTUL  RELAȚII PUBLICE ȘI TEHNOLOGIA INFORMAŢIEI</w:t>
      </w:r>
    </w:p>
    <w:p w:rsidR="00272771" w:rsidRPr="00FD4A79" w:rsidRDefault="00272771" w:rsidP="00813468">
      <w:pPr>
        <w:ind w:left="284" w:right="-1"/>
        <w:jc w:val="both"/>
        <w:rPr>
          <w:lang w:val="ro-RO"/>
        </w:rPr>
      </w:pPr>
      <w:r w:rsidRPr="00FD4A79">
        <w:rPr>
          <w:lang w:val="ro-RO"/>
        </w:rPr>
        <w:t xml:space="preserve">        </w:t>
      </w:r>
    </w:p>
    <w:p w:rsidR="00272771" w:rsidRPr="00FD4A79" w:rsidRDefault="00272771" w:rsidP="00813468">
      <w:pPr>
        <w:ind w:left="284" w:right="-1"/>
        <w:jc w:val="both"/>
        <w:rPr>
          <w:lang w:val="ro-RO"/>
        </w:rPr>
      </w:pPr>
    </w:p>
    <w:p w:rsidR="00272771" w:rsidRPr="00F312E6" w:rsidRDefault="00F312E6" w:rsidP="00813468">
      <w:pPr>
        <w:ind w:left="284" w:right="-1"/>
        <w:jc w:val="both"/>
        <w:rPr>
          <w:lang w:val="ro-RO"/>
        </w:rPr>
      </w:pPr>
      <w:r w:rsidRPr="00F312E6">
        <w:rPr>
          <w:lang w:val="ro-RO"/>
        </w:rPr>
        <w:t xml:space="preserve"> </w:t>
      </w:r>
      <w:r w:rsidR="00272771" w:rsidRPr="00F312E6">
        <w:rPr>
          <w:lang w:val="ro-RO"/>
        </w:rPr>
        <w:t xml:space="preserve"> În cadrul acestui compartiment, </w:t>
      </w:r>
      <w:r w:rsidR="00002BF6" w:rsidRPr="00F312E6">
        <w:rPr>
          <w:lang w:val="ro-RO"/>
        </w:rPr>
        <w:t>în primele trei trimestre</w:t>
      </w:r>
      <w:r w:rsidR="00272771" w:rsidRPr="00F312E6">
        <w:rPr>
          <w:lang w:val="ro-RO"/>
        </w:rPr>
        <w:t xml:space="preserve"> </w:t>
      </w:r>
      <w:r w:rsidRPr="00F312E6">
        <w:rPr>
          <w:lang w:val="ro-RO"/>
        </w:rPr>
        <w:t>s-au primit spre rezolvare 84</w:t>
      </w:r>
      <w:r w:rsidR="00002BF6" w:rsidRPr="00F312E6">
        <w:rPr>
          <w:lang w:val="ro-RO"/>
        </w:rPr>
        <w:t xml:space="preserve"> </w:t>
      </w:r>
      <w:r w:rsidR="00272771" w:rsidRPr="00F312E6">
        <w:rPr>
          <w:lang w:val="ro-RO"/>
        </w:rPr>
        <w:t>solicitări de informați</w:t>
      </w:r>
      <w:r w:rsidR="00002BF6" w:rsidRPr="00F312E6">
        <w:rPr>
          <w:lang w:val="ro-RO"/>
        </w:rPr>
        <w:t>i de mediu de interes public</w:t>
      </w:r>
      <w:r w:rsidR="00AC117C">
        <w:rPr>
          <w:lang w:val="ro-RO"/>
        </w:rPr>
        <w:t xml:space="preserve"> (70</w:t>
      </w:r>
      <w:r w:rsidR="0089098B" w:rsidRPr="00F312E6">
        <w:rPr>
          <w:lang w:val="ro-RO"/>
        </w:rPr>
        <w:t xml:space="preserve"> necesitatea obțin</w:t>
      </w:r>
      <w:r w:rsidR="00AC117C">
        <w:rPr>
          <w:lang w:val="ro-RO"/>
        </w:rPr>
        <w:t xml:space="preserve">erii actelor de reglementare; 14 </w:t>
      </w:r>
      <w:r w:rsidR="0089098B" w:rsidRPr="00F312E6">
        <w:rPr>
          <w:lang w:val="ro-RO"/>
        </w:rPr>
        <w:t>existența sau nu a actelor de reglementare emise pentru dive</w:t>
      </w:r>
      <w:r w:rsidR="00AC117C">
        <w:rPr>
          <w:lang w:val="ro-RO"/>
        </w:rPr>
        <w:t>rși operatori economici)</w:t>
      </w:r>
      <w:r w:rsidR="0089098B" w:rsidRPr="00F312E6">
        <w:rPr>
          <w:lang w:val="ro-RO"/>
        </w:rPr>
        <w:t xml:space="preserve">, </w:t>
      </w:r>
      <w:r w:rsidRPr="00F312E6">
        <w:rPr>
          <w:lang w:val="ro-RO"/>
        </w:rPr>
        <w:t xml:space="preserve">72 </w:t>
      </w:r>
      <w:r w:rsidR="00002BF6" w:rsidRPr="00F312E6">
        <w:rPr>
          <w:lang w:val="ro-RO"/>
        </w:rPr>
        <w:t xml:space="preserve">de la persoane </w:t>
      </w:r>
      <w:r w:rsidR="0089098B" w:rsidRPr="00F312E6">
        <w:rPr>
          <w:lang w:val="ro-RO"/>
        </w:rPr>
        <w:t xml:space="preserve">juridice  și </w:t>
      </w:r>
      <w:r w:rsidRPr="00F312E6">
        <w:rPr>
          <w:lang w:val="ro-RO"/>
        </w:rPr>
        <w:t>12</w:t>
      </w:r>
      <w:r w:rsidR="00272771" w:rsidRPr="00F312E6">
        <w:rPr>
          <w:lang w:val="ro-RO"/>
        </w:rPr>
        <w:t xml:space="preserve"> de la persoane fiz</w:t>
      </w:r>
      <w:r w:rsidRPr="00F312E6">
        <w:rPr>
          <w:lang w:val="ro-RO"/>
        </w:rPr>
        <w:t>ice, și 80</w:t>
      </w:r>
      <w:r w:rsidR="0089098B" w:rsidRPr="00F312E6">
        <w:rPr>
          <w:lang w:val="ro-RO"/>
        </w:rPr>
        <w:t xml:space="preserve"> sesizari (</w:t>
      </w:r>
      <w:r w:rsidRPr="00F312E6">
        <w:rPr>
          <w:lang w:val="ro-RO"/>
        </w:rPr>
        <w:t>65</w:t>
      </w:r>
      <w:bookmarkStart w:id="0" w:name="_GoBack"/>
      <w:bookmarkEnd w:id="0"/>
      <w:r w:rsidRPr="00F312E6">
        <w:rPr>
          <w:lang w:val="ro-RO"/>
        </w:rPr>
        <w:t xml:space="preserve"> </w:t>
      </w:r>
      <w:r w:rsidR="0089098B" w:rsidRPr="00F312E6">
        <w:rPr>
          <w:lang w:val="ro-RO"/>
        </w:rPr>
        <w:t>referitoare l</w:t>
      </w:r>
      <w:r w:rsidR="00DD5F35" w:rsidRPr="00F312E6">
        <w:rPr>
          <w:lang w:val="ro-RO"/>
        </w:rPr>
        <w:t>a disconfort olfactiv</w:t>
      </w:r>
      <w:r w:rsidR="00625A6C" w:rsidRPr="00F312E6">
        <w:rPr>
          <w:lang w:val="ro-RO"/>
        </w:rPr>
        <w:t>, poluare</w:t>
      </w:r>
      <w:r w:rsidR="00DD5F35" w:rsidRPr="00F312E6">
        <w:rPr>
          <w:lang w:val="ro-RO"/>
        </w:rPr>
        <w:t xml:space="preserve">; </w:t>
      </w:r>
      <w:r w:rsidRPr="00F312E6">
        <w:rPr>
          <w:lang w:val="ro-RO"/>
        </w:rPr>
        <w:t xml:space="preserve">15 </w:t>
      </w:r>
      <w:r w:rsidR="0054594B" w:rsidRPr="00F312E6">
        <w:rPr>
          <w:lang w:val="ro-RO"/>
        </w:rPr>
        <w:t>redirecț</w:t>
      </w:r>
      <w:r w:rsidR="00625A6C" w:rsidRPr="00F312E6">
        <w:rPr>
          <w:lang w:val="ro-RO"/>
        </w:rPr>
        <w:t>ionate către alte instituții).</w:t>
      </w:r>
    </w:p>
    <w:p w:rsidR="00C47173" w:rsidRPr="009035EE" w:rsidRDefault="00C47173" w:rsidP="00813468">
      <w:pPr>
        <w:ind w:left="284" w:right="-1"/>
        <w:jc w:val="right"/>
        <w:rPr>
          <w:b/>
          <w:color w:val="FF0000"/>
          <w:lang w:val="it-IT"/>
        </w:rPr>
      </w:pPr>
    </w:p>
    <w:p w:rsidR="00C47173" w:rsidRPr="009035EE" w:rsidRDefault="00C47173" w:rsidP="00813468">
      <w:pPr>
        <w:ind w:left="284" w:right="-1"/>
        <w:rPr>
          <w:b/>
          <w:color w:val="FF0000"/>
          <w:lang w:val="pt-BR"/>
        </w:rPr>
      </w:pPr>
      <w:r w:rsidRPr="009035EE">
        <w:rPr>
          <w:b/>
          <w:color w:val="FF0000"/>
          <w:lang w:val="pt-BR"/>
        </w:rPr>
        <w:t xml:space="preserve">                                                                             </w:t>
      </w:r>
    </w:p>
    <w:p w:rsidR="00571021" w:rsidRPr="00FD4A79" w:rsidRDefault="00C47173" w:rsidP="00813468">
      <w:pPr>
        <w:ind w:left="284" w:right="-1"/>
        <w:jc w:val="center"/>
        <w:rPr>
          <w:b/>
          <w:lang w:val="pt-BR"/>
        </w:rPr>
      </w:pPr>
      <w:r w:rsidRPr="00FD4A79">
        <w:rPr>
          <w:b/>
          <w:lang w:val="pt-BR"/>
        </w:rPr>
        <w:t xml:space="preserve">                                                                     </w:t>
      </w:r>
    </w:p>
    <w:p w:rsidR="00C47173" w:rsidRPr="00FD4A79" w:rsidRDefault="00C47173" w:rsidP="00813468">
      <w:pPr>
        <w:ind w:left="284" w:right="-1"/>
        <w:jc w:val="right"/>
        <w:rPr>
          <w:b/>
          <w:lang w:val="pt-BR"/>
        </w:rPr>
      </w:pPr>
      <w:r w:rsidRPr="00FD4A79">
        <w:rPr>
          <w:b/>
          <w:lang w:val="pt-BR"/>
        </w:rPr>
        <w:tab/>
      </w:r>
      <w:r w:rsidRPr="00FD4A79">
        <w:rPr>
          <w:b/>
          <w:lang w:val="pt-BR"/>
        </w:rPr>
        <w:tab/>
      </w:r>
    </w:p>
    <w:p w:rsidR="00C47173" w:rsidRPr="00FD4A79" w:rsidRDefault="00C47173" w:rsidP="00813468">
      <w:pPr>
        <w:ind w:left="284" w:right="-1"/>
        <w:jc w:val="right"/>
        <w:rPr>
          <w:b/>
          <w:lang w:val="pt-BR"/>
        </w:rPr>
      </w:pPr>
      <w:r w:rsidRPr="00FD4A79">
        <w:rPr>
          <w:b/>
          <w:lang w:val="pt-BR"/>
        </w:rPr>
        <w:tab/>
      </w:r>
      <w:r w:rsidRPr="00FD4A79">
        <w:rPr>
          <w:b/>
          <w:lang w:val="pt-BR"/>
        </w:rPr>
        <w:tab/>
      </w:r>
      <w:r w:rsidRPr="00FD4A79">
        <w:rPr>
          <w:b/>
          <w:lang w:val="pt-BR"/>
        </w:rPr>
        <w:tab/>
      </w:r>
      <w:r w:rsidRPr="00FD4A79">
        <w:rPr>
          <w:b/>
          <w:lang w:val="pt-BR"/>
        </w:rPr>
        <w:tab/>
      </w:r>
      <w:r w:rsidRPr="00FD4A79">
        <w:rPr>
          <w:b/>
          <w:lang w:val="pt-BR"/>
        </w:rPr>
        <w:tab/>
      </w:r>
      <w:r w:rsidRPr="00FD4A79">
        <w:rPr>
          <w:b/>
          <w:lang w:val="pt-BR"/>
        </w:rPr>
        <w:tab/>
      </w:r>
      <w:r w:rsidRPr="00FD4A79">
        <w:rPr>
          <w:b/>
          <w:lang w:val="pt-BR"/>
        </w:rPr>
        <w:tab/>
      </w:r>
      <w:r w:rsidRPr="00FD4A79">
        <w:rPr>
          <w:b/>
          <w:lang w:val="pt-BR"/>
        </w:rPr>
        <w:tab/>
        <w:t xml:space="preserve">                            </w:t>
      </w:r>
    </w:p>
    <w:p w:rsidR="0007713E" w:rsidRPr="00FD4A79" w:rsidRDefault="00984582" w:rsidP="00813468">
      <w:pPr>
        <w:ind w:left="284" w:right="-1"/>
        <w:jc w:val="right"/>
        <w:rPr>
          <w:b/>
          <w:lang w:val="pt-BR"/>
        </w:rPr>
      </w:pPr>
      <w:r w:rsidRPr="00FD4A79">
        <w:rPr>
          <w:b/>
          <w:lang w:val="pt-BR"/>
        </w:rPr>
        <w:tab/>
      </w:r>
      <w:r w:rsidRPr="00FD4A79">
        <w:rPr>
          <w:b/>
          <w:lang w:val="pt-BR"/>
        </w:rPr>
        <w:tab/>
      </w:r>
      <w:r w:rsidRPr="00FD4A79">
        <w:rPr>
          <w:b/>
          <w:lang w:val="pt-BR"/>
        </w:rPr>
        <w:tab/>
      </w:r>
      <w:r w:rsidRPr="00FD4A79">
        <w:rPr>
          <w:b/>
          <w:lang w:val="pt-BR"/>
        </w:rPr>
        <w:tab/>
      </w:r>
      <w:r w:rsidRPr="00FD4A79">
        <w:rPr>
          <w:b/>
          <w:lang w:val="pt-BR"/>
        </w:rPr>
        <w:tab/>
      </w:r>
      <w:r w:rsidRPr="00FD4A79">
        <w:rPr>
          <w:b/>
          <w:lang w:val="pt-BR"/>
        </w:rPr>
        <w:tab/>
      </w:r>
    </w:p>
    <w:p w:rsidR="0007713E" w:rsidRPr="00FD4A79" w:rsidRDefault="0007713E" w:rsidP="00813468">
      <w:pPr>
        <w:ind w:left="284" w:right="-1"/>
        <w:jc w:val="right"/>
        <w:rPr>
          <w:b/>
          <w:lang w:val="pt-BR"/>
        </w:rPr>
      </w:pPr>
    </w:p>
    <w:p w:rsidR="0007713E" w:rsidRPr="00FD4A79" w:rsidRDefault="0007713E" w:rsidP="00813468">
      <w:pPr>
        <w:ind w:left="284" w:right="-1"/>
        <w:jc w:val="right"/>
        <w:rPr>
          <w:b/>
          <w:lang w:val="pt-BR"/>
        </w:rPr>
      </w:pPr>
    </w:p>
    <w:p w:rsidR="0007713E" w:rsidRPr="00FD4A79" w:rsidRDefault="0007713E" w:rsidP="00813468">
      <w:pPr>
        <w:ind w:left="284" w:right="-1"/>
        <w:jc w:val="right"/>
        <w:rPr>
          <w:b/>
          <w:lang w:val="pt-BR"/>
        </w:rPr>
      </w:pPr>
    </w:p>
    <w:p w:rsidR="0007713E" w:rsidRPr="00FD4A79" w:rsidRDefault="0007713E" w:rsidP="00813468">
      <w:pPr>
        <w:ind w:left="284" w:right="-1"/>
        <w:jc w:val="right"/>
        <w:rPr>
          <w:b/>
          <w:lang w:val="pt-BR"/>
        </w:rPr>
      </w:pPr>
    </w:p>
    <w:p w:rsidR="0007713E" w:rsidRPr="00FD4A79" w:rsidRDefault="0007713E" w:rsidP="00813468">
      <w:pPr>
        <w:ind w:left="284" w:right="-1"/>
        <w:jc w:val="right"/>
        <w:rPr>
          <w:b/>
          <w:lang w:val="pt-BR"/>
        </w:rPr>
      </w:pPr>
    </w:p>
    <w:p w:rsidR="00984582" w:rsidRPr="00FD4A79" w:rsidRDefault="00984582" w:rsidP="00813468">
      <w:pPr>
        <w:ind w:left="284" w:right="-1"/>
        <w:jc w:val="right"/>
        <w:rPr>
          <w:b/>
          <w:lang w:val="pt-BR"/>
        </w:rPr>
      </w:pPr>
      <w:r w:rsidRPr="00FD4A79">
        <w:rPr>
          <w:b/>
          <w:lang w:val="pt-BR"/>
        </w:rPr>
        <w:tab/>
      </w:r>
      <w:r w:rsidRPr="00FD4A79">
        <w:rPr>
          <w:b/>
          <w:lang w:val="pt-BR"/>
        </w:rPr>
        <w:tab/>
      </w:r>
      <w:r w:rsidR="00072C7A" w:rsidRPr="00FD4A79">
        <w:rPr>
          <w:b/>
          <w:lang w:val="pt-BR"/>
        </w:rPr>
        <w:t xml:space="preserve">                            </w:t>
      </w:r>
    </w:p>
    <w:sectPr w:rsidR="00984582" w:rsidRPr="00FD4A79" w:rsidSect="00FF3499">
      <w:footerReference w:type="even" r:id="rId8"/>
      <w:footerReference w:type="default" r:id="rId9"/>
      <w:pgSz w:w="11907" w:h="16840" w:code="9"/>
      <w:pgMar w:top="737" w:right="1134"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B7" w:rsidRDefault="00E124B7">
      <w:r>
        <w:separator/>
      </w:r>
    </w:p>
  </w:endnote>
  <w:endnote w:type="continuationSeparator" w:id="0">
    <w:p w:rsidR="00E124B7" w:rsidRDefault="00E1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6A" w:rsidRDefault="00B7116A" w:rsidP="00984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116A" w:rsidRDefault="00B7116A" w:rsidP="009845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6A" w:rsidRDefault="00B7116A" w:rsidP="00984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17C">
      <w:rPr>
        <w:rStyle w:val="PageNumber"/>
        <w:noProof/>
      </w:rPr>
      <w:t>7</w:t>
    </w:r>
    <w:r>
      <w:rPr>
        <w:rStyle w:val="PageNumber"/>
      </w:rPr>
      <w:fldChar w:fldCharType="end"/>
    </w:r>
  </w:p>
  <w:p w:rsidR="00B7116A" w:rsidRDefault="00B7116A" w:rsidP="009845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B7" w:rsidRDefault="00E124B7">
      <w:r>
        <w:separator/>
      </w:r>
    </w:p>
  </w:footnote>
  <w:footnote w:type="continuationSeparator" w:id="0">
    <w:p w:rsidR="00E124B7" w:rsidRDefault="00E12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3B3"/>
    <w:multiLevelType w:val="hybridMultilevel"/>
    <w:tmpl w:val="A3DCC7A6"/>
    <w:lvl w:ilvl="0" w:tplc="D9923708">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BB34CB3"/>
    <w:multiLevelType w:val="hybridMultilevel"/>
    <w:tmpl w:val="950EE70E"/>
    <w:lvl w:ilvl="0" w:tplc="0F4417C2">
      <w:start w:val="1"/>
      <w:numFmt w:val="bullet"/>
      <w:lvlText w:val="-"/>
      <w:lvlJc w:val="left"/>
      <w:pPr>
        <w:tabs>
          <w:tab w:val="num" w:pos="360"/>
        </w:tabs>
        <w:ind w:left="340" w:hanging="340"/>
      </w:pPr>
      <w:rPr>
        <w:rFonts w:ascii="Times New Roman" w:hAnsi="Times New Roman" w:hint="default"/>
      </w:rPr>
    </w:lvl>
    <w:lvl w:ilvl="1" w:tplc="E132E270">
      <w:start w:val="1"/>
      <w:numFmt w:val="decimal"/>
      <w:lvlText w:val="%2."/>
      <w:lvlJc w:val="left"/>
      <w:pPr>
        <w:tabs>
          <w:tab w:val="num" w:pos="1440"/>
        </w:tabs>
        <w:ind w:left="1440" w:hanging="360"/>
      </w:pPr>
      <w:rPr>
        <w:rFonts w:hint="default"/>
        <w:b/>
      </w:rPr>
    </w:lvl>
    <w:lvl w:ilvl="2" w:tplc="04090005">
      <w:start w:val="1"/>
      <w:numFmt w:val="bullet"/>
      <w:lvlText w:val=""/>
      <w:lvlJc w:val="left"/>
      <w:pPr>
        <w:tabs>
          <w:tab w:val="num" w:pos="2160"/>
        </w:tabs>
        <w:ind w:left="2160" w:hanging="360"/>
      </w:pPr>
      <w:rPr>
        <w:rFonts w:ascii="Wingdings" w:hAnsi="Wingdings" w:hint="default"/>
      </w:rPr>
    </w:lvl>
    <w:lvl w:ilvl="3" w:tplc="9AAAE8B8">
      <w:start w:val="1"/>
      <w:numFmt w:val="decimal"/>
      <w:lvlText w:val="%4."/>
      <w:lvlJc w:val="left"/>
      <w:pPr>
        <w:tabs>
          <w:tab w:val="num" w:pos="1620"/>
        </w:tabs>
        <w:ind w:left="1620" w:hanging="360"/>
      </w:pPr>
      <w:rPr>
        <w:rFonts w:hint="default"/>
        <w:b/>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4E46B0"/>
    <w:multiLevelType w:val="hybridMultilevel"/>
    <w:tmpl w:val="1E92398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3A23DAC"/>
    <w:multiLevelType w:val="hybridMultilevel"/>
    <w:tmpl w:val="7D128C1C"/>
    <w:lvl w:ilvl="0" w:tplc="E5CAF9B0">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FCC69BE"/>
    <w:multiLevelType w:val="hybridMultilevel"/>
    <w:tmpl w:val="9588114A"/>
    <w:lvl w:ilvl="0" w:tplc="317023C4">
      <w:start w:val="1"/>
      <w:numFmt w:val="upperLetter"/>
      <w:lvlText w:val="%1."/>
      <w:lvlJc w:val="left"/>
      <w:pPr>
        <w:ind w:left="984" w:hanging="624"/>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2114151"/>
    <w:multiLevelType w:val="hybridMultilevel"/>
    <w:tmpl w:val="63E4BC82"/>
    <w:lvl w:ilvl="0" w:tplc="3DCAF6E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9501281"/>
    <w:multiLevelType w:val="hybridMultilevel"/>
    <w:tmpl w:val="8F32EF44"/>
    <w:lvl w:ilvl="0" w:tplc="6E8AFF0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8822093"/>
    <w:multiLevelType w:val="hybridMultilevel"/>
    <w:tmpl w:val="4EC2CD6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7"/>
  </w:num>
  <w:num w:numId="6">
    <w:abstractNumId w:val="3"/>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82"/>
    <w:rsid w:val="00002BF6"/>
    <w:rsid w:val="000066F0"/>
    <w:rsid w:val="00014395"/>
    <w:rsid w:val="000149AA"/>
    <w:rsid w:val="0002072F"/>
    <w:rsid w:val="00023C8D"/>
    <w:rsid w:val="000247B6"/>
    <w:rsid w:val="00024BEC"/>
    <w:rsid w:val="00031B8A"/>
    <w:rsid w:val="0003225F"/>
    <w:rsid w:val="00035B2B"/>
    <w:rsid w:val="00036804"/>
    <w:rsid w:val="0003718F"/>
    <w:rsid w:val="0004299C"/>
    <w:rsid w:val="00052CB1"/>
    <w:rsid w:val="0005440E"/>
    <w:rsid w:val="000555DB"/>
    <w:rsid w:val="00061697"/>
    <w:rsid w:val="00062530"/>
    <w:rsid w:val="00063F8C"/>
    <w:rsid w:val="000648B1"/>
    <w:rsid w:val="00072C7A"/>
    <w:rsid w:val="0007713E"/>
    <w:rsid w:val="0007735F"/>
    <w:rsid w:val="00083480"/>
    <w:rsid w:val="000B3064"/>
    <w:rsid w:val="000C066D"/>
    <w:rsid w:val="000C2C0A"/>
    <w:rsid w:val="000C4E38"/>
    <w:rsid w:val="000C59C7"/>
    <w:rsid w:val="000C6E13"/>
    <w:rsid w:val="000C7A47"/>
    <w:rsid w:val="000D11DA"/>
    <w:rsid w:val="000E0BC8"/>
    <w:rsid w:val="000E2432"/>
    <w:rsid w:val="000F6BDA"/>
    <w:rsid w:val="00116327"/>
    <w:rsid w:val="00126276"/>
    <w:rsid w:val="001344B4"/>
    <w:rsid w:val="00146A85"/>
    <w:rsid w:val="001616B0"/>
    <w:rsid w:val="00161F46"/>
    <w:rsid w:val="001643DB"/>
    <w:rsid w:val="001A0EE6"/>
    <w:rsid w:val="001A64E2"/>
    <w:rsid w:val="001B14CD"/>
    <w:rsid w:val="001C603F"/>
    <w:rsid w:val="001D1801"/>
    <w:rsid w:val="001D40EE"/>
    <w:rsid w:val="001F2382"/>
    <w:rsid w:val="001F477B"/>
    <w:rsid w:val="001F5A0F"/>
    <w:rsid w:val="002042F3"/>
    <w:rsid w:val="002071F4"/>
    <w:rsid w:val="002105B0"/>
    <w:rsid w:val="00212928"/>
    <w:rsid w:val="00216955"/>
    <w:rsid w:val="00222896"/>
    <w:rsid w:val="002264AB"/>
    <w:rsid w:val="00235905"/>
    <w:rsid w:val="00240E25"/>
    <w:rsid w:val="002414BB"/>
    <w:rsid w:val="00244EEB"/>
    <w:rsid w:val="002479A9"/>
    <w:rsid w:val="00261A63"/>
    <w:rsid w:val="00267815"/>
    <w:rsid w:val="002723D2"/>
    <w:rsid w:val="00272771"/>
    <w:rsid w:val="0028357C"/>
    <w:rsid w:val="00285D86"/>
    <w:rsid w:val="002872F0"/>
    <w:rsid w:val="0029013A"/>
    <w:rsid w:val="002911CC"/>
    <w:rsid w:val="00294199"/>
    <w:rsid w:val="002963C7"/>
    <w:rsid w:val="002A1EAC"/>
    <w:rsid w:val="002A3ABD"/>
    <w:rsid w:val="002B0CBC"/>
    <w:rsid w:val="002B14D1"/>
    <w:rsid w:val="002B23AB"/>
    <w:rsid w:val="002B7735"/>
    <w:rsid w:val="002C202B"/>
    <w:rsid w:val="002D0B27"/>
    <w:rsid w:val="002D14D9"/>
    <w:rsid w:val="002D277C"/>
    <w:rsid w:val="002D4EA8"/>
    <w:rsid w:val="002D5E92"/>
    <w:rsid w:val="002D783C"/>
    <w:rsid w:val="002E4FB5"/>
    <w:rsid w:val="002F2CDA"/>
    <w:rsid w:val="002F4E2A"/>
    <w:rsid w:val="003078CF"/>
    <w:rsid w:val="00317E06"/>
    <w:rsid w:val="00321AE8"/>
    <w:rsid w:val="003232CF"/>
    <w:rsid w:val="00323365"/>
    <w:rsid w:val="00323AF2"/>
    <w:rsid w:val="003241A6"/>
    <w:rsid w:val="00326F5E"/>
    <w:rsid w:val="0033029A"/>
    <w:rsid w:val="00330DFE"/>
    <w:rsid w:val="00332D58"/>
    <w:rsid w:val="00335D7A"/>
    <w:rsid w:val="003432F5"/>
    <w:rsid w:val="003470AC"/>
    <w:rsid w:val="00356741"/>
    <w:rsid w:val="003567CA"/>
    <w:rsid w:val="00356CA7"/>
    <w:rsid w:val="0036311E"/>
    <w:rsid w:val="00375CA4"/>
    <w:rsid w:val="003806FA"/>
    <w:rsid w:val="0038213C"/>
    <w:rsid w:val="0038217B"/>
    <w:rsid w:val="00384A1F"/>
    <w:rsid w:val="00394D29"/>
    <w:rsid w:val="003A058A"/>
    <w:rsid w:val="003A3EB1"/>
    <w:rsid w:val="003A4CDC"/>
    <w:rsid w:val="003B0F68"/>
    <w:rsid w:val="003C108C"/>
    <w:rsid w:val="003C1ABC"/>
    <w:rsid w:val="003C2961"/>
    <w:rsid w:val="003C5990"/>
    <w:rsid w:val="003C5F29"/>
    <w:rsid w:val="003C613C"/>
    <w:rsid w:val="003C6C20"/>
    <w:rsid w:val="003C742F"/>
    <w:rsid w:val="003C79B9"/>
    <w:rsid w:val="003D390E"/>
    <w:rsid w:val="003D7437"/>
    <w:rsid w:val="003D7C30"/>
    <w:rsid w:val="003E0E6B"/>
    <w:rsid w:val="003E33B8"/>
    <w:rsid w:val="003E7139"/>
    <w:rsid w:val="003F7180"/>
    <w:rsid w:val="00400BD8"/>
    <w:rsid w:val="00401042"/>
    <w:rsid w:val="00402C09"/>
    <w:rsid w:val="004037F3"/>
    <w:rsid w:val="00406379"/>
    <w:rsid w:val="0042475B"/>
    <w:rsid w:val="00433879"/>
    <w:rsid w:val="0044329A"/>
    <w:rsid w:val="00445F80"/>
    <w:rsid w:val="00456024"/>
    <w:rsid w:val="00456193"/>
    <w:rsid w:val="00465C4D"/>
    <w:rsid w:val="00474344"/>
    <w:rsid w:val="00474AD6"/>
    <w:rsid w:val="00476BE4"/>
    <w:rsid w:val="00477789"/>
    <w:rsid w:val="004A2CEA"/>
    <w:rsid w:val="004A3C11"/>
    <w:rsid w:val="004B38D8"/>
    <w:rsid w:val="004C65A8"/>
    <w:rsid w:val="004C7B15"/>
    <w:rsid w:val="004D377C"/>
    <w:rsid w:val="004D6CB9"/>
    <w:rsid w:val="004D7CC8"/>
    <w:rsid w:val="004F4425"/>
    <w:rsid w:val="004F78F5"/>
    <w:rsid w:val="0050221E"/>
    <w:rsid w:val="00504BF3"/>
    <w:rsid w:val="005105E4"/>
    <w:rsid w:val="0051585C"/>
    <w:rsid w:val="00532D37"/>
    <w:rsid w:val="00537539"/>
    <w:rsid w:val="00542641"/>
    <w:rsid w:val="00543465"/>
    <w:rsid w:val="0054594B"/>
    <w:rsid w:val="00546CAF"/>
    <w:rsid w:val="0055375C"/>
    <w:rsid w:val="00561D16"/>
    <w:rsid w:val="00563B28"/>
    <w:rsid w:val="0056774D"/>
    <w:rsid w:val="0057002A"/>
    <w:rsid w:val="00571021"/>
    <w:rsid w:val="00571893"/>
    <w:rsid w:val="00572B5A"/>
    <w:rsid w:val="00580853"/>
    <w:rsid w:val="0058550B"/>
    <w:rsid w:val="0058596A"/>
    <w:rsid w:val="00595F9E"/>
    <w:rsid w:val="005A789F"/>
    <w:rsid w:val="005C065A"/>
    <w:rsid w:val="005C18DD"/>
    <w:rsid w:val="005C3686"/>
    <w:rsid w:val="005C5585"/>
    <w:rsid w:val="005C6CEE"/>
    <w:rsid w:val="005C7B7E"/>
    <w:rsid w:val="005D0499"/>
    <w:rsid w:val="005D5FDC"/>
    <w:rsid w:val="005E0796"/>
    <w:rsid w:val="005E6238"/>
    <w:rsid w:val="005F2556"/>
    <w:rsid w:val="005F29FF"/>
    <w:rsid w:val="0060541A"/>
    <w:rsid w:val="006055A1"/>
    <w:rsid w:val="006205C2"/>
    <w:rsid w:val="006207D4"/>
    <w:rsid w:val="00625A6C"/>
    <w:rsid w:val="006304A4"/>
    <w:rsid w:val="00631780"/>
    <w:rsid w:val="0064289A"/>
    <w:rsid w:val="00642D73"/>
    <w:rsid w:val="00657BAF"/>
    <w:rsid w:val="00663CF8"/>
    <w:rsid w:val="00670BE1"/>
    <w:rsid w:val="00670F3D"/>
    <w:rsid w:val="00675F36"/>
    <w:rsid w:val="0068020F"/>
    <w:rsid w:val="00681C05"/>
    <w:rsid w:val="00683EB8"/>
    <w:rsid w:val="006846A0"/>
    <w:rsid w:val="00692B64"/>
    <w:rsid w:val="006965E6"/>
    <w:rsid w:val="00697113"/>
    <w:rsid w:val="006A7971"/>
    <w:rsid w:val="006A7998"/>
    <w:rsid w:val="006B0168"/>
    <w:rsid w:val="006B3FD8"/>
    <w:rsid w:val="006B4A9D"/>
    <w:rsid w:val="006B4D35"/>
    <w:rsid w:val="006C0A0D"/>
    <w:rsid w:val="006C15EB"/>
    <w:rsid w:val="006C5F0A"/>
    <w:rsid w:val="006D2975"/>
    <w:rsid w:val="006D3E9C"/>
    <w:rsid w:val="006D75F6"/>
    <w:rsid w:val="006E051F"/>
    <w:rsid w:val="006E4ED7"/>
    <w:rsid w:val="006F4CD2"/>
    <w:rsid w:val="006F661A"/>
    <w:rsid w:val="007057E4"/>
    <w:rsid w:val="00710C14"/>
    <w:rsid w:val="007115E5"/>
    <w:rsid w:val="00721CE5"/>
    <w:rsid w:val="00743A2D"/>
    <w:rsid w:val="00756907"/>
    <w:rsid w:val="00757CB6"/>
    <w:rsid w:val="00767EA3"/>
    <w:rsid w:val="00784C69"/>
    <w:rsid w:val="00784CF8"/>
    <w:rsid w:val="00785FC0"/>
    <w:rsid w:val="007924C3"/>
    <w:rsid w:val="00794D9F"/>
    <w:rsid w:val="00797261"/>
    <w:rsid w:val="007A484A"/>
    <w:rsid w:val="007A73DF"/>
    <w:rsid w:val="007C2588"/>
    <w:rsid w:val="007C65C3"/>
    <w:rsid w:val="007E1819"/>
    <w:rsid w:val="007E6CA2"/>
    <w:rsid w:val="007E7A30"/>
    <w:rsid w:val="00813468"/>
    <w:rsid w:val="00813FFA"/>
    <w:rsid w:val="00815866"/>
    <w:rsid w:val="00832C9B"/>
    <w:rsid w:val="0083586E"/>
    <w:rsid w:val="008420EB"/>
    <w:rsid w:val="00851BCA"/>
    <w:rsid w:val="00865885"/>
    <w:rsid w:val="00867798"/>
    <w:rsid w:val="0087050D"/>
    <w:rsid w:val="008714F2"/>
    <w:rsid w:val="0087425F"/>
    <w:rsid w:val="00882312"/>
    <w:rsid w:val="00887374"/>
    <w:rsid w:val="00887956"/>
    <w:rsid w:val="0089098B"/>
    <w:rsid w:val="00895995"/>
    <w:rsid w:val="008A4F5E"/>
    <w:rsid w:val="008A6606"/>
    <w:rsid w:val="008B175C"/>
    <w:rsid w:val="008B6D3D"/>
    <w:rsid w:val="008C2815"/>
    <w:rsid w:val="008C33ED"/>
    <w:rsid w:val="008C525F"/>
    <w:rsid w:val="008D1149"/>
    <w:rsid w:val="008D2D1F"/>
    <w:rsid w:val="008E4F39"/>
    <w:rsid w:val="008E6E8B"/>
    <w:rsid w:val="008E7FDC"/>
    <w:rsid w:val="008F5337"/>
    <w:rsid w:val="008F660A"/>
    <w:rsid w:val="00900B43"/>
    <w:rsid w:val="009026DE"/>
    <w:rsid w:val="009035EE"/>
    <w:rsid w:val="009043C5"/>
    <w:rsid w:val="0090561B"/>
    <w:rsid w:val="009131AE"/>
    <w:rsid w:val="00914560"/>
    <w:rsid w:val="009152DC"/>
    <w:rsid w:val="009152F8"/>
    <w:rsid w:val="0092017F"/>
    <w:rsid w:val="00920CA1"/>
    <w:rsid w:val="009228F8"/>
    <w:rsid w:val="00924705"/>
    <w:rsid w:val="00927507"/>
    <w:rsid w:val="0093229B"/>
    <w:rsid w:val="00932BDD"/>
    <w:rsid w:val="00935473"/>
    <w:rsid w:val="00935845"/>
    <w:rsid w:val="00955EFC"/>
    <w:rsid w:val="00963742"/>
    <w:rsid w:val="009672C8"/>
    <w:rsid w:val="009675A7"/>
    <w:rsid w:val="009744BC"/>
    <w:rsid w:val="00976D7F"/>
    <w:rsid w:val="00981151"/>
    <w:rsid w:val="00981170"/>
    <w:rsid w:val="00981B3C"/>
    <w:rsid w:val="00984101"/>
    <w:rsid w:val="00984582"/>
    <w:rsid w:val="00985C62"/>
    <w:rsid w:val="00987E96"/>
    <w:rsid w:val="00990B98"/>
    <w:rsid w:val="00991ADF"/>
    <w:rsid w:val="00992955"/>
    <w:rsid w:val="009B1251"/>
    <w:rsid w:val="009C1C0D"/>
    <w:rsid w:val="009C7846"/>
    <w:rsid w:val="009D11BE"/>
    <w:rsid w:val="009E5024"/>
    <w:rsid w:val="009F14E6"/>
    <w:rsid w:val="009F4EB5"/>
    <w:rsid w:val="009F6EC7"/>
    <w:rsid w:val="00A034DE"/>
    <w:rsid w:val="00A054CB"/>
    <w:rsid w:val="00A05F7F"/>
    <w:rsid w:val="00A11689"/>
    <w:rsid w:val="00A25F0E"/>
    <w:rsid w:val="00A313DA"/>
    <w:rsid w:val="00A335B0"/>
    <w:rsid w:val="00A374F7"/>
    <w:rsid w:val="00A53AB5"/>
    <w:rsid w:val="00A5552C"/>
    <w:rsid w:val="00A56376"/>
    <w:rsid w:val="00A56994"/>
    <w:rsid w:val="00A56CA7"/>
    <w:rsid w:val="00A5772D"/>
    <w:rsid w:val="00A57A90"/>
    <w:rsid w:val="00A57F26"/>
    <w:rsid w:val="00A57FD1"/>
    <w:rsid w:val="00A629F1"/>
    <w:rsid w:val="00A63736"/>
    <w:rsid w:val="00A70319"/>
    <w:rsid w:val="00A76469"/>
    <w:rsid w:val="00A77D8B"/>
    <w:rsid w:val="00A81C3C"/>
    <w:rsid w:val="00A9028B"/>
    <w:rsid w:val="00A93306"/>
    <w:rsid w:val="00A940D1"/>
    <w:rsid w:val="00A943FA"/>
    <w:rsid w:val="00AA0375"/>
    <w:rsid w:val="00AA17CD"/>
    <w:rsid w:val="00AA1F33"/>
    <w:rsid w:val="00AB1FED"/>
    <w:rsid w:val="00AB2D1E"/>
    <w:rsid w:val="00AB3F22"/>
    <w:rsid w:val="00AB40E8"/>
    <w:rsid w:val="00AC117C"/>
    <w:rsid w:val="00AC4E09"/>
    <w:rsid w:val="00AC518C"/>
    <w:rsid w:val="00AD570E"/>
    <w:rsid w:val="00AD63A6"/>
    <w:rsid w:val="00AE2E47"/>
    <w:rsid w:val="00AE3A63"/>
    <w:rsid w:val="00AF1425"/>
    <w:rsid w:val="00AF39E6"/>
    <w:rsid w:val="00AF50F6"/>
    <w:rsid w:val="00B126B5"/>
    <w:rsid w:val="00B16967"/>
    <w:rsid w:val="00B230C0"/>
    <w:rsid w:val="00B27027"/>
    <w:rsid w:val="00B35E8E"/>
    <w:rsid w:val="00B465E8"/>
    <w:rsid w:val="00B46A2D"/>
    <w:rsid w:val="00B50E29"/>
    <w:rsid w:val="00B51406"/>
    <w:rsid w:val="00B51B68"/>
    <w:rsid w:val="00B57CA3"/>
    <w:rsid w:val="00B7116A"/>
    <w:rsid w:val="00B723CB"/>
    <w:rsid w:val="00B74F88"/>
    <w:rsid w:val="00B75C4D"/>
    <w:rsid w:val="00B832F4"/>
    <w:rsid w:val="00B85072"/>
    <w:rsid w:val="00B8551D"/>
    <w:rsid w:val="00B94E78"/>
    <w:rsid w:val="00BA0DB5"/>
    <w:rsid w:val="00BA1B8B"/>
    <w:rsid w:val="00BA7E11"/>
    <w:rsid w:val="00BB4745"/>
    <w:rsid w:val="00BC3270"/>
    <w:rsid w:val="00BC3D38"/>
    <w:rsid w:val="00BC5BD5"/>
    <w:rsid w:val="00BC7701"/>
    <w:rsid w:val="00BE40D6"/>
    <w:rsid w:val="00BE7F70"/>
    <w:rsid w:val="00BF1EEF"/>
    <w:rsid w:val="00BF74A3"/>
    <w:rsid w:val="00BF75C3"/>
    <w:rsid w:val="00C01819"/>
    <w:rsid w:val="00C12C70"/>
    <w:rsid w:val="00C13F87"/>
    <w:rsid w:val="00C1692C"/>
    <w:rsid w:val="00C3015F"/>
    <w:rsid w:val="00C33E3B"/>
    <w:rsid w:val="00C3546A"/>
    <w:rsid w:val="00C35B09"/>
    <w:rsid w:val="00C37EA9"/>
    <w:rsid w:val="00C4249A"/>
    <w:rsid w:val="00C47173"/>
    <w:rsid w:val="00C660B1"/>
    <w:rsid w:val="00C66785"/>
    <w:rsid w:val="00C72A19"/>
    <w:rsid w:val="00C8284B"/>
    <w:rsid w:val="00C83373"/>
    <w:rsid w:val="00C95947"/>
    <w:rsid w:val="00CA2317"/>
    <w:rsid w:val="00CB0388"/>
    <w:rsid w:val="00CB127D"/>
    <w:rsid w:val="00CC1FAF"/>
    <w:rsid w:val="00CC5655"/>
    <w:rsid w:val="00CC5E49"/>
    <w:rsid w:val="00CD26DF"/>
    <w:rsid w:val="00CE379D"/>
    <w:rsid w:val="00D018BE"/>
    <w:rsid w:val="00D01B25"/>
    <w:rsid w:val="00D0369E"/>
    <w:rsid w:val="00D0420A"/>
    <w:rsid w:val="00D0604A"/>
    <w:rsid w:val="00D0745F"/>
    <w:rsid w:val="00D10187"/>
    <w:rsid w:val="00D1324E"/>
    <w:rsid w:val="00D204C4"/>
    <w:rsid w:val="00D205B8"/>
    <w:rsid w:val="00D2334A"/>
    <w:rsid w:val="00D260E2"/>
    <w:rsid w:val="00D26D06"/>
    <w:rsid w:val="00D27BC6"/>
    <w:rsid w:val="00D30FFD"/>
    <w:rsid w:val="00D32D4E"/>
    <w:rsid w:val="00D410E2"/>
    <w:rsid w:val="00D4604F"/>
    <w:rsid w:val="00D4635A"/>
    <w:rsid w:val="00D523ED"/>
    <w:rsid w:val="00D6466F"/>
    <w:rsid w:val="00D670CE"/>
    <w:rsid w:val="00D7007C"/>
    <w:rsid w:val="00D71A5A"/>
    <w:rsid w:val="00D74933"/>
    <w:rsid w:val="00D76D78"/>
    <w:rsid w:val="00D80609"/>
    <w:rsid w:val="00D806F3"/>
    <w:rsid w:val="00D82C3F"/>
    <w:rsid w:val="00D83C2A"/>
    <w:rsid w:val="00D87F0E"/>
    <w:rsid w:val="00D912D2"/>
    <w:rsid w:val="00D921B1"/>
    <w:rsid w:val="00D95D3F"/>
    <w:rsid w:val="00DA1731"/>
    <w:rsid w:val="00DA1CA2"/>
    <w:rsid w:val="00DA6A45"/>
    <w:rsid w:val="00DC16BB"/>
    <w:rsid w:val="00DC4A74"/>
    <w:rsid w:val="00DD143F"/>
    <w:rsid w:val="00DD5F35"/>
    <w:rsid w:val="00DE2DBF"/>
    <w:rsid w:val="00DE516E"/>
    <w:rsid w:val="00DF31F2"/>
    <w:rsid w:val="00E0404E"/>
    <w:rsid w:val="00E043CE"/>
    <w:rsid w:val="00E12293"/>
    <w:rsid w:val="00E124B7"/>
    <w:rsid w:val="00E1676D"/>
    <w:rsid w:val="00E20B4B"/>
    <w:rsid w:val="00E339B4"/>
    <w:rsid w:val="00E358F1"/>
    <w:rsid w:val="00E41BA7"/>
    <w:rsid w:val="00E450D2"/>
    <w:rsid w:val="00E615F5"/>
    <w:rsid w:val="00E66D86"/>
    <w:rsid w:val="00E671A4"/>
    <w:rsid w:val="00E70DF9"/>
    <w:rsid w:val="00E74EE3"/>
    <w:rsid w:val="00E75DB0"/>
    <w:rsid w:val="00E77C4F"/>
    <w:rsid w:val="00E81709"/>
    <w:rsid w:val="00EA429C"/>
    <w:rsid w:val="00EA5FB1"/>
    <w:rsid w:val="00EB0614"/>
    <w:rsid w:val="00EB72B2"/>
    <w:rsid w:val="00EC71A0"/>
    <w:rsid w:val="00ED0558"/>
    <w:rsid w:val="00ED1512"/>
    <w:rsid w:val="00ED2700"/>
    <w:rsid w:val="00ED4613"/>
    <w:rsid w:val="00ED61D8"/>
    <w:rsid w:val="00EE6DC9"/>
    <w:rsid w:val="00F06F63"/>
    <w:rsid w:val="00F07E3D"/>
    <w:rsid w:val="00F11F68"/>
    <w:rsid w:val="00F12510"/>
    <w:rsid w:val="00F2122D"/>
    <w:rsid w:val="00F228B4"/>
    <w:rsid w:val="00F23406"/>
    <w:rsid w:val="00F312E6"/>
    <w:rsid w:val="00F361C4"/>
    <w:rsid w:val="00F405C8"/>
    <w:rsid w:val="00F422B4"/>
    <w:rsid w:val="00F50135"/>
    <w:rsid w:val="00F54913"/>
    <w:rsid w:val="00F57AB1"/>
    <w:rsid w:val="00F70E9C"/>
    <w:rsid w:val="00F731D4"/>
    <w:rsid w:val="00F76966"/>
    <w:rsid w:val="00F8585F"/>
    <w:rsid w:val="00F8693D"/>
    <w:rsid w:val="00F90D4E"/>
    <w:rsid w:val="00FA4130"/>
    <w:rsid w:val="00FB03D8"/>
    <w:rsid w:val="00FC034A"/>
    <w:rsid w:val="00FC356C"/>
    <w:rsid w:val="00FC7F96"/>
    <w:rsid w:val="00FD4A79"/>
    <w:rsid w:val="00FD7032"/>
    <w:rsid w:val="00FE3D9B"/>
    <w:rsid w:val="00FF3499"/>
    <w:rsid w:val="00FF454C"/>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82"/>
    <w:rPr>
      <w:sz w:val="24"/>
      <w:szCs w:val="24"/>
    </w:rPr>
  </w:style>
  <w:style w:type="paragraph" w:styleId="Heading3">
    <w:name w:val="heading 3"/>
    <w:basedOn w:val="Normal"/>
    <w:next w:val="Normal"/>
    <w:qFormat/>
    <w:rsid w:val="00984582"/>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984582"/>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4582"/>
    <w:pPr>
      <w:tabs>
        <w:tab w:val="center" w:pos="4320"/>
        <w:tab w:val="right" w:pos="8640"/>
      </w:tabs>
    </w:pPr>
  </w:style>
  <w:style w:type="character" w:styleId="PageNumber">
    <w:name w:val="page number"/>
    <w:basedOn w:val="DefaultParagraphFont"/>
    <w:rsid w:val="00984582"/>
  </w:style>
  <w:style w:type="character" w:styleId="Hyperlink">
    <w:name w:val="Hyperlink"/>
    <w:rsid w:val="00984582"/>
    <w:rPr>
      <w:color w:val="0000FF"/>
      <w:u w:val="single"/>
    </w:rPr>
  </w:style>
  <w:style w:type="paragraph" w:styleId="BodyText">
    <w:name w:val="Body Text"/>
    <w:basedOn w:val="Normal"/>
    <w:link w:val="BodyTextChar"/>
    <w:rsid w:val="00984582"/>
    <w:pPr>
      <w:ind w:right="-1"/>
    </w:pPr>
    <w:rPr>
      <w:b/>
      <w:sz w:val="28"/>
      <w:szCs w:val="20"/>
    </w:rPr>
  </w:style>
  <w:style w:type="paragraph" w:styleId="Title">
    <w:name w:val="Title"/>
    <w:basedOn w:val="Normal"/>
    <w:link w:val="TitleChar"/>
    <w:qFormat/>
    <w:rsid w:val="00984582"/>
    <w:pPr>
      <w:jc w:val="center"/>
    </w:pPr>
    <w:rPr>
      <w:b/>
      <w:szCs w:val="20"/>
      <w:lang w:val="ro-RO"/>
    </w:rPr>
  </w:style>
  <w:style w:type="paragraph" w:styleId="BodyTextIndent">
    <w:name w:val="Body Text Indent"/>
    <w:basedOn w:val="Normal"/>
    <w:link w:val="BodyTextIndentChar"/>
    <w:rsid w:val="00984582"/>
    <w:pPr>
      <w:spacing w:after="120"/>
      <w:ind w:left="283"/>
    </w:pPr>
  </w:style>
  <w:style w:type="paragraph" w:customStyle="1" w:styleId="Char">
    <w:name w:val="Char"/>
    <w:basedOn w:val="Normal"/>
    <w:rsid w:val="00984582"/>
    <w:rPr>
      <w:lang w:val="pl-PL" w:eastAsia="pl-PL"/>
    </w:rPr>
  </w:style>
  <w:style w:type="character" w:styleId="Strong">
    <w:name w:val="Strong"/>
    <w:uiPriority w:val="22"/>
    <w:qFormat/>
    <w:rsid w:val="00984582"/>
    <w:rPr>
      <w:b/>
      <w:bCs/>
    </w:rPr>
  </w:style>
  <w:style w:type="table" w:styleId="TableGrid">
    <w:name w:val="Table Grid"/>
    <w:basedOn w:val="TableNormal"/>
    <w:rsid w:val="00984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
    <w:name w:val="Caracter"/>
    <w:basedOn w:val="Normal"/>
    <w:rsid w:val="00F57AB1"/>
    <w:rPr>
      <w:lang w:val="pl-PL" w:eastAsia="pl-PL"/>
    </w:rPr>
  </w:style>
  <w:style w:type="paragraph" w:customStyle="1" w:styleId="Caracter1">
    <w:name w:val="Caracter1"/>
    <w:basedOn w:val="Normal"/>
    <w:rsid w:val="009F4EB5"/>
    <w:rPr>
      <w:lang w:val="pl-PL" w:eastAsia="pl-PL"/>
    </w:rPr>
  </w:style>
  <w:style w:type="paragraph" w:styleId="DocumentMap">
    <w:name w:val="Document Map"/>
    <w:basedOn w:val="Normal"/>
    <w:semiHidden/>
    <w:rsid w:val="003078CF"/>
    <w:pPr>
      <w:shd w:val="clear" w:color="auto" w:fill="000080"/>
    </w:pPr>
    <w:rPr>
      <w:rFonts w:ascii="Tahoma" w:hAnsi="Tahoma" w:cs="Tahoma"/>
      <w:sz w:val="20"/>
      <w:szCs w:val="20"/>
    </w:rPr>
  </w:style>
  <w:style w:type="paragraph" w:customStyle="1" w:styleId="CharChar5Caracter">
    <w:name w:val="Char Char5 Caracter"/>
    <w:basedOn w:val="Normal"/>
    <w:rsid w:val="002105B0"/>
    <w:pPr>
      <w:spacing w:after="160" w:line="240" w:lineRule="exact"/>
    </w:pPr>
    <w:rPr>
      <w:rFonts w:ascii="Verdana" w:hAnsi="Verdana" w:cs="Verdana"/>
      <w:sz w:val="20"/>
      <w:szCs w:val="20"/>
    </w:rPr>
  </w:style>
  <w:style w:type="character" w:customStyle="1" w:styleId="TitleChar">
    <w:name w:val="Title Char"/>
    <w:link w:val="Title"/>
    <w:rsid w:val="00083480"/>
    <w:rPr>
      <w:b/>
      <w:sz w:val="24"/>
      <w:lang w:val="ro-RO" w:eastAsia="en-US" w:bidi="ar-SA"/>
    </w:rPr>
  </w:style>
  <w:style w:type="paragraph" w:styleId="ListParagraph">
    <w:name w:val="List Paragraph"/>
    <w:basedOn w:val="Normal"/>
    <w:uiPriority w:val="34"/>
    <w:qFormat/>
    <w:rsid w:val="009B125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20B4B"/>
    <w:rPr>
      <w:rFonts w:ascii="Calibri" w:eastAsia="Calibri" w:hAnsi="Calibri"/>
      <w:sz w:val="22"/>
      <w:szCs w:val="22"/>
      <w:lang w:val="en-GB" w:eastAsia="en-GB"/>
    </w:rPr>
  </w:style>
  <w:style w:type="character" w:customStyle="1" w:styleId="HeaderChar">
    <w:name w:val="Header Char"/>
    <w:link w:val="Header"/>
    <w:uiPriority w:val="99"/>
    <w:rsid w:val="00E20B4B"/>
    <w:rPr>
      <w:rFonts w:ascii="Calibri" w:eastAsia="Calibri" w:hAnsi="Calibri"/>
      <w:sz w:val="22"/>
      <w:szCs w:val="22"/>
    </w:rPr>
  </w:style>
  <w:style w:type="paragraph" w:customStyle="1" w:styleId="Default">
    <w:name w:val="Default"/>
    <w:basedOn w:val="Normal"/>
    <w:rsid w:val="00E20B4B"/>
    <w:pPr>
      <w:autoSpaceDE w:val="0"/>
      <w:autoSpaceDN w:val="0"/>
    </w:pPr>
    <w:rPr>
      <w:rFonts w:eastAsia="Calibri"/>
      <w:color w:val="000000"/>
      <w:lang w:val="en-GB" w:eastAsia="en-GB"/>
    </w:rPr>
  </w:style>
  <w:style w:type="character" w:customStyle="1" w:styleId="BodyTextChar">
    <w:name w:val="Body Text Char"/>
    <w:link w:val="BodyText"/>
    <w:rsid w:val="00D1324E"/>
    <w:rPr>
      <w:b/>
      <w:sz w:val="28"/>
    </w:rPr>
  </w:style>
  <w:style w:type="paragraph" w:styleId="NormalWeb">
    <w:name w:val="Normal (Web)"/>
    <w:basedOn w:val="Normal"/>
    <w:uiPriority w:val="99"/>
    <w:unhideWhenUsed/>
    <w:rsid w:val="00542641"/>
    <w:pPr>
      <w:spacing w:before="100" w:beforeAutospacing="1" w:after="100" w:afterAutospacing="1"/>
    </w:pPr>
  </w:style>
  <w:style w:type="character" w:customStyle="1" w:styleId="spar">
    <w:name w:val="s_par"/>
    <w:basedOn w:val="DefaultParagraphFont"/>
    <w:rsid w:val="00C1692C"/>
  </w:style>
  <w:style w:type="character" w:customStyle="1" w:styleId="shdr">
    <w:name w:val="s_hdr"/>
    <w:basedOn w:val="DefaultParagraphFont"/>
    <w:rsid w:val="009131AE"/>
  </w:style>
  <w:style w:type="character" w:customStyle="1" w:styleId="markedcontent">
    <w:name w:val="markedcontent"/>
    <w:basedOn w:val="DefaultParagraphFont"/>
    <w:rsid w:val="00F07E3D"/>
  </w:style>
  <w:style w:type="character" w:customStyle="1" w:styleId="BodyTextIndentChar">
    <w:name w:val="Body Text Indent Char"/>
    <w:basedOn w:val="DefaultParagraphFont"/>
    <w:link w:val="BodyTextIndent"/>
    <w:rsid w:val="00B230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82"/>
    <w:rPr>
      <w:sz w:val="24"/>
      <w:szCs w:val="24"/>
    </w:rPr>
  </w:style>
  <w:style w:type="paragraph" w:styleId="Heading3">
    <w:name w:val="heading 3"/>
    <w:basedOn w:val="Normal"/>
    <w:next w:val="Normal"/>
    <w:qFormat/>
    <w:rsid w:val="00984582"/>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984582"/>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4582"/>
    <w:pPr>
      <w:tabs>
        <w:tab w:val="center" w:pos="4320"/>
        <w:tab w:val="right" w:pos="8640"/>
      </w:tabs>
    </w:pPr>
  </w:style>
  <w:style w:type="character" w:styleId="PageNumber">
    <w:name w:val="page number"/>
    <w:basedOn w:val="DefaultParagraphFont"/>
    <w:rsid w:val="00984582"/>
  </w:style>
  <w:style w:type="character" w:styleId="Hyperlink">
    <w:name w:val="Hyperlink"/>
    <w:rsid w:val="00984582"/>
    <w:rPr>
      <w:color w:val="0000FF"/>
      <w:u w:val="single"/>
    </w:rPr>
  </w:style>
  <w:style w:type="paragraph" w:styleId="BodyText">
    <w:name w:val="Body Text"/>
    <w:basedOn w:val="Normal"/>
    <w:link w:val="BodyTextChar"/>
    <w:rsid w:val="00984582"/>
    <w:pPr>
      <w:ind w:right="-1"/>
    </w:pPr>
    <w:rPr>
      <w:b/>
      <w:sz w:val="28"/>
      <w:szCs w:val="20"/>
    </w:rPr>
  </w:style>
  <w:style w:type="paragraph" w:styleId="Title">
    <w:name w:val="Title"/>
    <w:basedOn w:val="Normal"/>
    <w:link w:val="TitleChar"/>
    <w:qFormat/>
    <w:rsid w:val="00984582"/>
    <w:pPr>
      <w:jc w:val="center"/>
    </w:pPr>
    <w:rPr>
      <w:b/>
      <w:szCs w:val="20"/>
      <w:lang w:val="ro-RO"/>
    </w:rPr>
  </w:style>
  <w:style w:type="paragraph" w:styleId="BodyTextIndent">
    <w:name w:val="Body Text Indent"/>
    <w:basedOn w:val="Normal"/>
    <w:link w:val="BodyTextIndentChar"/>
    <w:rsid w:val="00984582"/>
    <w:pPr>
      <w:spacing w:after="120"/>
      <w:ind w:left="283"/>
    </w:pPr>
  </w:style>
  <w:style w:type="paragraph" w:customStyle="1" w:styleId="Char">
    <w:name w:val="Char"/>
    <w:basedOn w:val="Normal"/>
    <w:rsid w:val="00984582"/>
    <w:rPr>
      <w:lang w:val="pl-PL" w:eastAsia="pl-PL"/>
    </w:rPr>
  </w:style>
  <w:style w:type="character" w:styleId="Strong">
    <w:name w:val="Strong"/>
    <w:uiPriority w:val="22"/>
    <w:qFormat/>
    <w:rsid w:val="00984582"/>
    <w:rPr>
      <w:b/>
      <w:bCs/>
    </w:rPr>
  </w:style>
  <w:style w:type="table" w:styleId="TableGrid">
    <w:name w:val="Table Grid"/>
    <w:basedOn w:val="TableNormal"/>
    <w:rsid w:val="00984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
    <w:name w:val="Caracter"/>
    <w:basedOn w:val="Normal"/>
    <w:rsid w:val="00F57AB1"/>
    <w:rPr>
      <w:lang w:val="pl-PL" w:eastAsia="pl-PL"/>
    </w:rPr>
  </w:style>
  <w:style w:type="paragraph" w:customStyle="1" w:styleId="Caracter1">
    <w:name w:val="Caracter1"/>
    <w:basedOn w:val="Normal"/>
    <w:rsid w:val="009F4EB5"/>
    <w:rPr>
      <w:lang w:val="pl-PL" w:eastAsia="pl-PL"/>
    </w:rPr>
  </w:style>
  <w:style w:type="paragraph" w:styleId="DocumentMap">
    <w:name w:val="Document Map"/>
    <w:basedOn w:val="Normal"/>
    <w:semiHidden/>
    <w:rsid w:val="003078CF"/>
    <w:pPr>
      <w:shd w:val="clear" w:color="auto" w:fill="000080"/>
    </w:pPr>
    <w:rPr>
      <w:rFonts w:ascii="Tahoma" w:hAnsi="Tahoma" w:cs="Tahoma"/>
      <w:sz w:val="20"/>
      <w:szCs w:val="20"/>
    </w:rPr>
  </w:style>
  <w:style w:type="paragraph" w:customStyle="1" w:styleId="CharChar5Caracter">
    <w:name w:val="Char Char5 Caracter"/>
    <w:basedOn w:val="Normal"/>
    <w:rsid w:val="002105B0"/>
    <w:pPr>
      <w:spacing w:after="160" w:line="240" w:lineRule="exact"/>
    </w:pPr>
    <w:rPr>
      <w:rFonts w:ascii="Verdana" w:hAnsi="Verdana" w:cs="Verdana"/>
      <w:sz w:val="20"/>
      <w:szCs w:val="20"/>
    </w:rPr>
  </w:style>
  <w:style w:type="character" w:customStyle="1" w:styleId="TitleChar">
    <w:name w:val="Title Char"/>
    <w:link w:val="Title"/>
    <w:rsid w:val="00083480"/>
    <w:rPr>
      <w:b/>
      <w:sz w:val="24"/>
      <w:lang w:val="ro-RO" w:eastAsia="en-US" w:bidi="ar-SA"/>
    </w:rPr>
  </w:style>
  <w:style w:type="paragraph" w:styleId="ListParagraph">
    <w:name w:val="List Paragraph"/>
    <w:basedOn w:val="Normal"/>
    <w:uiPriority w:val="34"/>
    <w:qFormat/>
    <w:rsid w:val="009B125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20B4B"/>
    <w:rPr>
      <w:rFonts w:ascii="Calibri" w:eastAsia="Calibri" w:hAnsi="Calibri"/>
      <w:sz w:val="22"/>
      <w:szCs w:val="22"/>
      <w:lang w:val="en-GB" w:eastAsia="en-GB"/>
    </w:rPr>
  </w:style>
  <w:style w:type="character" w:customStyle="1" w:styleId="HeaderChar">
    <w:name w:val="Header Char"/>
    <w:link w:val="Header"/>
    <w:uiPriority w:val="99"/>
    <w:rsid w:val="00E20B4B"/>
    <w:rPr>
      <w:rFonts w:ascii="Calibri" w:eastAsia="Calibri" w:hAnsi="Calibri"/>
      <w:sz w:val="22"/>
      <w:szCs w:val="22"/>
    </w:rPr>
  </w:style>
  <w:style w:type="paragraph" w:customStyle="1" w:styleId="Default">
    <w:name w:val="Default"/>
    <w:basedOn w:val="Normal"/>
    <w:rsid w:val="00E20B4B"/>
    <w:pPr>
      <w:autoSpaceDE w:val="0"/>
      <w:autoSpaceDN w:val="0"/>
    </w:pPr>
    <w:rPr>
      <w:rFonts w:eastAsia="Calibri"/>
      <w:color w:val="000000"/>
      <w:lang w:val="en-GB" w:eastAsia="en-GB"/>
    </w:rPr>
  </w:style>
  <w:style w:type="character" w:customStyle="1" w:styleId="BodyTextChar">
    <w:name w:val="Body Text Char"/>
    <w:link w:val="BodyText"/>
    <w:rsid w:val="00D1324E"/>
    <w:rPr>
      <w:b/>
      <w:sz w:val="28"/>
    </w:rPr>
  </w:style>
  <w:style w:type="paragraph" w:styleId="NormalWeb">
    <w:name w:val="Normal (Web)"/>
    <w:basedOn w:val="Normal"/>
    <w:uiPriority w:val="99"/>
    <w:unhideWhenUsed/>
    <w:rsid w:val="00542641"/>
    <w:pPr>
      <w:spacing w:before="100" w:beforeAutospacing="1" w:after="100" w:afterAutospacing="1"/>
    </w:pPr>
  </w:style>
  <w:style w:type="character" w:customStyle="1" w:styleId="spar">
    <w:name w:val="s_par"/>
    <w:basedOn w:val="DefaultParagraphFont"/>
    <w:rsid w:val="00C1692C"/>
  </w:style>
  <w:style w:type="character" w:customStyle="1" w:styleId="shdr">
    <w:name w:val="s_hdr"/>
    <w:basedOn w:val="DefaultParagraphFont"/>
    <w:rsid w:val="009131AE"/>
  </w:style>
  <w:style w:type="character" w:customStyle="1" w:styleId="markedcontent">
    <w:name w:val="markedcontent"/>
    <w:basedOn w:val="DefaultParagraphFont"/>
    <w:rsid w:val="00F07E3D"/>
  </w:style>
  <w:style w:type="character" w:customStyle="1" w:styleId="BodyTextIndentChar">
    <w:name w:val="Body Text Indent Char"/>
    <w:basedOn w:val="DefaultParagraphFont"/>
    <w:link w:val="BodyTextIndent"/>
    <w:rsid w:val="00B230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2311">
      <w:bodyDiv w:val="1"/>
      <w:marLeft w:val="0"/>
      <w:marRight w:val="0"/>
      <w:marTop w:val="0"/>
      <w:marBottom w:val="0"/>
      <w:divBdr>
        <w:top w:val="none" w:sz="0" w:space="0" w:color="auto"/>
        <w:left w:val="none" w:sz="0" w:space="0" w:color="auto"/>
        <w:bottom w:val="none" w:sz="0" w:space="0" w:color="auto"/>
        <w:right w:val="none" w:sz="0" w:space="0" w:color="auto"/>
      </w:divBdr>
    </w:div>
    <w:div w:id="567376911">
      <w:bodyDiv w:val="1"/>
      <w:marLeft w:val="0"/>
      <w:marRight w:val="0"/>
      <w:marTop w:val="0"/>
      <w:marBottom w:val="0"/>
      <w:divBdr>
        <w:top w:val="none" w:sz="0" w:space="0" w:color="auto"/>
        <w:left w:val="none" w:sz="0" w:space="0" w:color="auto"/>
        <w:bottom w:val="none" w:sz="0" w:space="0" w:color="auto"/>
        <w:right w:val="none" w:sz="0" w:space="0" w:color="auto"/>
      </w:divBdr>
    </w:div>
    <w:div w:id="577056596">
      <w:bodyDiv w:val="1"/>
      <w:marLeft w:val="0"/>
      <w:marRight w:val="0"/>
      <w:marTop w:val="0"/>
      <w:marBottom w:val="0"/>
      <w:divBdr>
        <w:top w:val="none" w:sz="0" w:space="0" w:color="auto"/>
        <w:left w:val="none" w:sz="0" w:space="0" w:color="auto"/>
        <w:bottom w:val="none" w:sz="0" w:space="0" w:color="auto"/>
        <w:right w:val="none" w:sz="0" w:space="0" w:color="auto"/>
      </w:divBdr>
    </w:div>
    <w:div w:id="875854220">
      <w:bodyDiv w:val="1"/>
      <w:marLeft w:val="0"/>
      <w:marRight w:val="0"/>
      <w:marTop w:val="0"/>
      <w:marBottom w:val="0"/>
      <w:divBdr>
        <w:top w:val="none" w:sz="0" w:space="0" w:color="auto"/>
        <w:left w:val="none" w:sz="0" w:space="0" w:color="auto"/>
        <w:bottom w:val="none" w:sz="0" w:space="0" w:color="auto"/>
        <w:right w:val="none" w:sz="0" w:space="0" w:color="auto"/>
      </w:divBdr>
    </w:div>
    <w:div w:id="896546908">
      <w:bodyDiv w:val="1"/>
      <w:marLeft w:val="0"/>
      <w:marRight w:val="0"/>
      <w:marTop w:val="0"/>
      <w:marBottom w:val="0"/>
      <w:divBdr>
        <w:top w:val="none" w:sz="0" w:space="0" w:color="auto"/>
        <w:left w:val="none" w:sz="0" w:space="0" w:color="auto"/>
        <w:bottom w:val="none" w:sz="0" w:space="0" w:color="auto"/>
        <w:right w:val="none" w:sz="0" w:space="0" w:color="auto"/>
      </w:divBdr>
    </w:div>
    <w:div w:id="1150290004">
      <w:bodyDiv w:val="1"/>
      <w:marLeft w:val="0"/>
      <w:marRight w:val="0"/>
      <w:marTop w:val="0"/>
      <w:marBottom w:val="0"/>
      <w:divBdr>
        <w:top w:val="none" w:sz="0" w:space="0" w:color="auto"/>
        <w:left w:val="none" w:sz="0" w:space="0" w:color="auto"/>
        <w:bottom w:val="none" w:sz="0" w:space="0" w:color="auto"/>
        <w:right w:val="none" w:sz="0" w:space="0" w:color="auto"/>
      </w:divBdr>
    </w:div>
    <w:div w:id="1341859288">
      <w:bodyDiv w:val="1"/>
      <w:marLeft w:val="0"/>
      <w:marRight w:val="0"/>
      <w:marTop w:val="0"/>
      <w:marBottom w:val="0"/>
      <w:divBdr>
        <w:top w:val="none" w:sz="0" w:space="0" w:color="auto"/>
        <w:left w:val="none" w:sz="0" w:space="0" w:color="auto"/>
        <w:bottom w:val="none" w:sz="0" w:space="0" w:color="auto"/>
        <w:right w:val="none" w:sz="0" w:space="0" w:color="auto"/>
      </w:divBdr>
    </w:div>
    <w:div w:id="19778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7</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RAPORT PRIVIND ACTIVITATEA DIRECTORULUI EXECUTIV</vt:lpstr>
    </vt:vector>
  </TitlesOfParts>
  <Company>APM</Company>
  <LinksUpToDate>false</LinksUpToDate>
  <CharactersWithSpaces>17807</CharactersWithSpaces>
  <SharedDoc>false</SharedDoc>
  <HLinks>
    <vt:vector size="6" baseType="variant">
      <vt:variant>
        <vt:i4>2031702</vt:i4>
      </vt:variant>
      <vt:variant>
        <vt:i4>0</vt:i4>
      </vt:variant>
      <vt:variant>
        <vt:i4>0</vt:i4>
      </vt:variant>
      <vt:variant>
        <vt:i4>5</vt:i4>
      </vt:variant>
      <vt:variant>
        <vt:lpwstr>http://apmph.anpm.ro/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ACTIVITATEA DIRECTORULUI EXECUTIV</dc:title>
  <dc:subject/>
  <dc:creator>doina.gheorghe</dc:creator>
  <cp:keywords/>
  <cp:lastModifiedBy>Emanuel Badarau</cp:lastModifiedBy>
  <cp:revision>80</cp:revision>
  <cp:lastPrinted>2017-11-29T06:55:00Z</cp:lastPrinted>
  <dcterms:created xsi:type="dcterms:W3CDTF">2023-11-23T08:01:00Z</dcterms:created>
  <dcterms:modified xsi:type="dcterms:W3CDTF">2023-11-27T08:09:00Z</dcterms:modified>
</cp:coreProperties>
</file>